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0A6" w:rsidRPr="007E1609" w:rsidRDefault="00AD10A6" w:rsidP="005B3B3A">
      <w:pPr>
        <w:pStyle w:val="ONEINCHSPACER"/>
        <w:spacing w:before="0"/>
        <w:jc w:val="center"/>
        <w:rPr>
          <w:sz w:val="36"/>
          <w:szCs w:val="36"/>
        </w:rPr>
      </w:pPr>
      <w:r w:rsidRPr="007E1609">
        <w:rPr>
          <w:sz w:val="36"/>
          <w:szCs w:val="36"/>
        </w:rPr>
        <w:t>CHAPTER 2</w:t>
      </w:r>
    </w:p>
    <w:p w:rsidR="00AD10A6" w:rsidRPr="007E1609" w:rsidRDefault="00AD10A6">
      <w:pPr>
        <w:pStyle w:val="CHAPTERTITLE"/>
        <w:rPr>
          <w:sz w:val="36"/>
          <w:szCs w:val="36"/>
        </w:rPr>
      </w:pPr>
      <w:bookmarkStart w:id="0" w:name="_Toc434915757"/>
      <w:r w:rsidRPr="007E1609">
        <w:rPr>
          <w:sz w:val="36"/>
          <w:szCs w:val="36"/>
        </w:rPr>
        <w:t>BACKGROUND</w:t>
      </w:r>
      <w:bookmarkEnd w:id="0"/>
    </w:p>
    <w:p w:rsidR="00AD10A6" w:rsidRDefault="00AD10A6" w:rsidP="007E1609">
      <w:pPr>
        <w:pStyle w:val="Heading1"/>
      </w:pPr>
      <w:bookmarkStart w:id="1" w:name="_Toc434915758"/>
      <w:r>
        <w:t>2.1 Introduction</w:t>
      </w:r>
      <w:bookmarkEnd w:id="1"/>
    </w:p>
    <w:p w:rsidR="00AD10A6" w:rsidRDefault="00AD10A6"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AD10A6" w:rsidRDefault="00AD10A6"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AD10A6" w:rsidRDefault="00AD10A6"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AD10A6" w:rsidRDefault="00AD10A6"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AD10A6" w:rsidRDefault="00AD10A6"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AD10A6" w:rsidRPr="008C65D4" w:rsidRDefault="00AD10A6" w:rsidP="00482469">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AD10A6" w:rsidRDefault="00AD10A6" w:rsidP="007E1609">
      <w:pPr>
        <w:pStyle w:val="Heading1"/>
      </w:pPr>
      <w:bookmarkStart w:id="2" w:name="_Toc434915759"/>
      <w:r>
        <w:t>2.2 Stratospheric Aerosol</w:t>
      </w:r>
      <w:bookmarkEnd w:id="2"/>
    </w:p>
    <w:p w:rsidR="00AD10A6" w:rsidRDefault="00AD10A6"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certain altitudes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AD10A6" w:rsidRDefault="00AD10A6" w:rsidP="006363C6">
      <w:pPr>
        <w:pStyle w:val="ListNumber"/>
        <w:spacing w:after="0" w:line="480" w:lineRule="auto"/>
        <w:ind w:left="0" w:firstLine="709"/>
        <w:jc w:val="both"/>
      </w:pPr>
      <w:r>
        <w:t>The stratosphere undergoes exchange of air with the troposphere though a series of dynamical processes including tropical convection, the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AD10A6" w:rsidRDefault="00AD10A6" w:rsidP="002347DA">
      <w:pPr>
        <w:pStyle w:val="Heading2"/>
      </w:pPr>
      <w:bookmarkStart w:id="3" w:name="_Toc434915760"/>
      <w:r>
        <w:t>2.2.1 Aerosol Sources and Microphysics</w:t>
      </w:r>
      <w:bookmarkEnd w:id="3"/>
    </w:p>
    <w:p w:rsidR="00AD10A6" w:rsidRDefault="00AD10A6"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AD10A6" w:rsidRDefault="00AD10A6" w:rsidP="00DD3820">
      <w:pPr>
        <w:pStyle w:val="ListNumber"/>
        <w:spacing w:after="0" w:line="480" w:lineRule="auto"/>
        <w:ind w:left="0" w:firstLine="709"/>
        <w:jc w:val="both"/>
      </w:pPr>
      <w:r>
        <w:t>Another source of sulfur is SO</w:t>
      </w:r>
      <w:r>
        <w:rPr>
          <w:vertAlign w:val="subscript"/>
        </w:rPr>
        <w:t>2</w:t>
      </w:r>
      <w:r>
        <w:t>, one source originates in the troposphere though industry from the burning of fossil fuels. Sulfur dioxide (SO</w:t>
      </w:r>
      <w:r>
        <w:rPr>
          <w:vertAlign w:val="subscript"/>
        </w:rPr>
        <w:t>2</w:t>
      </w:r>
      <w:r>
        <w:t>), which has a short lifetime in the troposphere and its concentration varies regionally (</w:t>
      </w:r>
      <w:r>
        <w:rPr>
          <w:i/>
        </w:rPr>
        <w:t>Thomason and Peter</w:t>
      </w:r>
      <w:r>
        <w:t>, 2006), also hydrates into sulfate aerosol. A second source of SO</w:t>
      </w:r>
      <w:r>
        <w:rPr>
          <w:vertAlign w:val="subscript"/>
        </w:rPr>
        <w:t>2</w:t>
      </w:r>
      <w:r>
        <w:t xml:space="preserve"> is from volcanic eruptions which are highly variable in location and time and can insert a large amount of sulfur directly into the atmosphere. The sulfur amounts that can be injected by volcanos can be so large they in fact dominate the stratospheric aerosol layer perturbing from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or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AD10A6" w:rsidRDefault="00AD10A6"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w:t>
            </w:r>
          </w:p>
        </w:tc>
      </w:tr>
    </w:tbl>
    <w:p w:rsidR="00AD10A6" w:rsidRDefault="00AD10A6"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AD10A6" w:rsidRDefault="00AD10A6" w:rsidP="0076182D">
      <w:pPr>
        <w:pStyle w:val="ListNumber"/>
        <w:spacing w:after="0" w:line="480" w:lineRule="auto"/>
        <w:ind w:left="0" w:firstLine="0"/>
        <w:jc w:val="both"/>
      </w:pPr>
      <w:r>
        <w:rPr>
          <w:noProof/>
          <w:lang w:val="en-CA" w:eastAsia="en-CA"/>
        </w:rPr>
        <w:drawing>
          <wp:inline distT="0" distB="0" distL="0" distR="0" wp14:anchorId="5CBA2970" wp14:editId="6CD4A4BF">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AD10A6" w:rsidRDefault="00AD10A6" w:rsidP="002362EA">
      <w:pPr>
        <w:jc w:val="center"/>
        <w:rPr>
          <w:sz w:val="24"/>
          <w:szCs w:val="24"/>
        </w:rPr>
      </w:pPr>
      <w:bookmarkStart w:id="4" w:name="_Ref432504734"/>
      <w:bookmarkStart w:id="5" w:name="_Toc434915825"/>
      <w:r w:rsidRPr="00A44BDC">
        <w:rPr>
          <w:b/>
          <w:sz w:val="24"/>
          <w:szCs w:val="24"/>
        </w:rPr>
        <w:t>Figure 2-</w:t>
      </w:r>
      <w:bookmarkEnd w:id="4"/>
      <w:r>
        <w:rPr>
          <w:b/>
          <w:sz w:val="24"/>
          <w:szCs w:val="24"/>
        </w:rPr>
        <w:fldChar w:fldCharType="begin"/>
      </w:r>
      <w:r>
        <w:rPr>
          <w:b/>
          <w:sz w:val="24"/>
          <w:szCs w:val="24"/>
        </w:rPr>
        <w:instrText xml:space="preserve"> SEQ Figure \* ARABIC \r 1 </w:instrText>
      </w:r>
      <w:r>
        <w:rPr>
          <w:b/>
          <w:sz w:val="24"/>
          <w:szCs w:val="24"/>
        </w:rPr>
        <w:fldChar w:fldCharType="separate"/>
      </w:r>
      <w:r>
        <w:rPr>
          <w:b/>
          <w:noProof/>
          <w:szCs w:val="24"/>
        </w:rPr>
        <w:t>1</w:t>
      </w:r>
      <w:r>
        <w:rPr>
          <w:b/>
          <w:sz w:val="24"/>
          <w:szCs w:val="24"/>
        </w:rPr>
        <w:fldChar w:fldCharType="end"/>
      </w:r>
      <w:r>
        <w:rPr>
          <w:sz w:val="24"/>
          <w:szCs w:val="24"/>
        </w:rPr>
        <w:t>: Log-normal distribution for non-volcanic background aerosol layer.</w:t>
      </w:r>
      <w:bookmarkEnd w:id="5"/>
    </w:p>
    <w:p w:rsidR="00AD10A6" w:rsidRDefault="00AD10A6" w:rsidP="009C3CFE">
      <w:pPr>
        <w:pStyle w:val="ListNumber"/>
        <w:keepNext/>
        <w:spacing w:after="0" w:line="480" w:lineRule="auto"/>
        <w:ind w:left="0" w:firstLine="0"/>
        <w:jc w:val="both"/>
      </w:pPr>
      <w:r>
        <w:rPr>
          <w:noProof/>
          <w:lang w:val="en-CA" w:eastAsia="en-CA"/>
        </w:rPr>
        <w:drawing>
          <wp:inline distT="0" distB="0" distL="0" distR="0" wp14:anchorId="34C12547" wp14:editId="70BFF23A">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AD10A6" w:rsidRPr="00DF5010" w:rsidRDefault="00AD10A6" w:rsidP="009C3CFE">
      <w:pPr>
        <w:jc w:val="center"/>
        <w:rPr>
          <w:sz w:val="24"/>
          <w:szCs w:val="24"/>
        </w:rPr>
      </w:pPr>
      <w:bookmarkStart w:id="6" w:name="_Ref432512315"/>
      <w:bookmarkStart w:id="7" w:name="_Toc434915826"/>
      <w:r w:rsidRPr="00DF5010">
        <w:rPr>
          <w:b/>
          <w:sz w:val="24"/>
          <w:szCs w:val="24"/>
        </w:rPr>
        <w:t>Figure 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Pr>
          <w:b/>
          <w:noProof/>
          <w:szCs w:val="24"/>
        </w:rPr>
        <w:t>2</w:t>
      </w:r>
      <w:r w:rsidRPr="00DF5010">
        <w:rPr>
          <w:b/>
          <w:sz w:val="24"/>
          <w:szCs w:val="24"/>
        </w:rPr>
        <w:fldChar w:fldCharType="end"/>
      </w:r>
      <w:bookmarkEnd w:id="6"/>
      <w:r>
        <w:rPr>
          <w:sz w:val="24"/>
          <w:szCs w:val="24"/>
        </w:rPr>
        <w:t xml:space="preserve">: Bimodal particle size distributions fits from optical particle size.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p>
    <w:p w:rsidR="00AD10A6" w:rsidRPr="009C3CFE" w:rsidRDefault="00AD10A6" w:rsidP="009C3CFE">
      <w:pPr>
        <w:jc w:val="center"/>
        <w:rPr>
          <w:sz w:val="24"/>
          <w:szCs w:val="24"/>
        </w:rPr>
      </w:pPr>
    </w:p>
    <w:p w:rsidR="00AD10A6" w:rsidRDefault="00AD10A6" w:rsidP="00691E8F">
      <w:pPr>
        <w:pStyle w:val="ListNumber"/>
        <w:spacing w:after="0" w:line="480" w:lineRule="auto"/>
        <w:ind w:left="0" w:firstLine="0"/>
        <w:jc w:val="both"/>
      </w:pPr>
      <w:r>
        <w:tab/>
        <w:t>Optical particle counters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approximation during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optical particle counters. The first distribution is from a volcanic period in 1993 after the Mount Pinatubo eruption and another from a background period in 1999.</w:t>
      </w:r>
    </w:p>
    <w:p w:rsidR="00AD10A6" w:rsidRDefault="00AD10A6" w:rsidP="002347DA">
      <w:pPr>
        <w:pStyle w:val="Heading2"/>
      </w:pPr>
      <w:bookmarkStart w:id="8" w:name="_Toc434915761"/>
      <w:r>
        <w:t>2.2.2 Climate Effects</w:t>
      </w:r>
      <w:bookmarkEnd w:id="8"/>
    </w:p>
    <w:p w:rsidR="00AD10A6" w:rsidRDefault="00AD10A6"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aerosol particles’ cooling effect dominates the warming effects and cools the surface of the planet (</w:t>
      </w:r>
      <w:r>
        <w:rPr>
          <w:i/>
        </w:rPr>
        <w:t>Solomon et al.</w:t>
      </w:r>
      <w:r>
        <w:t xml:space="preserve">, 2011). </w:t>
      </w:r>
    </w:p>
    <w:p w:rsidR="00AD10A6" w:rsidRPr="00F876B4" w:rsidRDefault="00AD10A6" w:rsidP="00B03693">
      <w:pPr>
        <w:pStyle w:val="ListNumber"/>
        <w:spacing w:after="0" w:line="480" w:lineRule="auto"/>
        <w:ind w:left="0" w:firstLine="709"/>
        <w:jc w:val="both"/>
      </w:pPr>
      <w:r>
        <w:t>During background aerosol periods there is little effect of the cooling from stratospheric aerosols but this can greatly change during periods of volcanic activity where the layer can be greatly perturbed. During the eruption of Mount Pinatubo in 1991 the sulfate aerosol load was increased by a large quantities causing a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3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requires to fully understand the aerosol forcing effect on climate modeling and change.</w:t>
      </w:r>
    </w:p>
    <w:p w:rsidR="00AD10A6" w:rsidRDefault="00AD10A6">
      <w:pPr>
        <w:pStyle w:val="Heading1"/>
      </w:pPr>
      <w:bookmarkStart w:id="9" w:name="_Toc434915762"/>
      <w:r>
        <w:t>2.3 Aerosol Measurements</w:t>
      </w:r>
      <w:bookmarkEnd w:id="9"/>
    </w:p>
    <w:p w:rsidR="00AD10A6" w:rsidRDefault="00AD10A6" w:rsidP="007E1609">
      <w:pPr>
        <w:pStyle w:val="BodyText"/>
        <w:jc w:val="both"/>
      </w:pPr>
      <w:bookmarkStart w:id="10" w:name="_Ref463275989"/>
      <w:bookmarkStart w:id="11" w:name="_Toc463235095"/>
      <w:bookmarkStart w:id="12"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AD10A6" w:rsidRDefault="00AD10A6" w:rsidP="003D416A">
      <w:pPr>
        <w:pStyle w:val="Heading2"/>
      </w:pPr>
      <w:bookmarkStart w:id="13" w:name="_Toc434915763"/>
      <w:r>
        <w:t>2.3.1 In-Situ Measurements</w:t>
      </w:r>
      <w:bookmarkEnd w:id="13"/>
    </w:p>
    <w:p w:rsidR="00AD10A6" w:rsidRDefault="00AD10A6"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w:t>
      </w:r>
      <w:r w:rsidRPr="002163A1">
        <w:t xml:space="preserve">ptical </w:t>
      </w:r>
      <w:r>
        <w:t>p</w:t>
      </w:r>
      <w:r w:rsidRPr="002163A1">
        <w:t xml:space="preserve">article </w:t>
      </w:r>
      <w:r>
        <w:t>c</w:t>
      </w:r>
      <w:r w:rsidRPr="002163A1">
        <w:t xml:space="preserve">ounter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AD10A6" w:rsidRDefault="00AD10A6" w:rsidP="002163A1">
      <w:pPr>
        <w:pStyle w:val="BodyText"/>
        <w:jc w:val="both"/>
      </w:pPr>
      <w:r w:rsidRPr="002163A1">
        <w:t>In-situ measurements of aerosol extinction give direct measurement of scattered light from the altitude that the balloon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t>d</w:t>
      </w:r>
      <w:r w:rsidRPr="002163A1">
        <w:t xml:space="preserve"> to fill the spatial gap.</w:t>
      </w:r>
    </w:p>
    <w:p w:rsidR="00AD10A6" w:rsidRDefault="00AD10A6" w:rsidP="003D416A">
      <w:pPr>
        <w:pStyle w:val="Heading2"/>
      </w:pPr>
      <w:bookmarkStart w:id="14" w:name="_Toc434915764"/>
      <w:r>
        <w:t>2.3.2 Occultation</w:t>
      </w:r>
      <w:bookmarkEnd w:id="14"/>
    </w:p>
    <w:p w:rsidR="00AD10A6" w:rsidRDefault="00AD10A6"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vertical resolution of approximately 1 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AD10A6" w:rsidRDefault="00AD10A6" w:rsidP="009A0793">
      <w:pPr>
        <w:pStyle w:val="BodyText"/>
        <w:keepNext/>
        <w:ind w:firstLine="0"/>
      </w:pPr>
      <w:r>
        <w:rPr>
          <w:noProof/>
          <w:lang w:val="en-CA" w:eastAsia="en-CA"/>
        </w:rPr>
        <w:drawing>
          <wp:inline distT="0" distB="0" distL="0" distR="0" wp14:anchorId="0EBC8852" wp14:editId="71C65EF8">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AD10A6" w:rsidRDefault="00AD10A6" w:rsidP="00371DAA">
      <w:pPr>
        <w:jc w:val="center"/>
        <w:rPr>
          <w:sz w:val="24"/>
          <w:szCs w:val="24"/>
        </w:rPr>
      </w:pPr>
      <w:bookmarkStart w:id="15" w:name="_Ref433365111"/>
      <w:bookmarkStart w:id="16" w:name="_Toc434915827"/>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Pr>
          <w:b/>
          <w:noProof/>
          <w:szCs w:val="24"/>
        </w:rPr>
        <w:t>3</w:t>
      </w:r>
      <w:r w:rsidRPr="00371DAA">
        <w:rPr>
          <w:b/>
          <w:sz w:val="24"/>
          <w:szCs w:val="24"/>
        </w:rPr>
        <w:fldChar w:fldCharType="end"/>
      </w:r>
      <w:bookmarkEnd w:id="15"/>
      <w:r>
        <w:rPr>
          <w:sz w:val="24"/>
          <w:szCs w:val="24"/>
        </w:rPr>
        <w:t>: An</w:t>
      </w:r>
      <w:r w:rsidRPr="009A0793">
        <w:rPr>
          <w:sz w:val="24"/>
          <w:szCs w:val="24"/>
        </w:rPr>
        <w:t xml:space="preserve"> occultation instrument monitoring the atmosphere by scanning the atmosphere by looking directly at the sun.</w:t>
      </w:r>
      <w:bookmarkEnd w:id="16"/>
    </w:p>
    <w:p w:rsidR="00AD10A6" w:rsidRDefault="00AD10A6" w:rsidP="009A0793">
      <w:pPr>
        <w:rPr>
          <w:sz w:val="24"/>
          <w:szCs w:val="24"/>
        </w:rPr>
      </w:pPr>
    </w:p>
    <w:p w:rsidR="00AD10A6" w:rsidRDefault="00AD10A6" w:rsidP="003D416A">
      <w:pPr>
        <w:pStyle w:val="Heading2"/>
      </w:pPr>
      <w:bookmarkStart w:id="17" w:name="_Toc434915765"/>
      <w:r>
        <w:t>2.3.3 Lidar</w:t>
      </w:r>
      <w:bookmarkEnd w:id="17"/>
    </w:p>
    <w:p w:rsidR="00AD10A6" w:rsidRDefault="00AD10A6" w:rsidP="00A24B7F">
      <w:pPr>
        <w:pStyle w:val="BodyText"/>
        <w:jc w:val="both"/>
      </w:pPr>
      <w:r>
        <w:t>Through the transmission of a laser pulses though the atmosphere, a method known as lidar can determine atmospheric parameters through the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AD10A6" w:rsidRDefault="00AD10A6" w:rsidP="009D4D5E">
      <w:pPr>
        <w:pStyle w:val="BodyText"/>
        <w:keepNext/>
        <w:ind w:firstLine="0"/>
        <w:jc w:val="both"/>
      </w:pPr>
      <w:r>
        <w:rPr>
          <w:noProof/>
          <w:lang w:val="en-CA" w:eastAsia="en-CA"/>
        </w:rPr>
        <w:drawing>
          <wp:inline distT="0" distB="0" distL="0" distR="0" wp14:anchorId="62363E3D" wp14:editId="55FE8499">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D10A6" w:rsidRDefault="00AD10A6" w:rsidP="00935A8D">
      <w:pPr>
        <w:pStyle w:val="Caption"/>
        <w:spacing w:after="0"/>
        <w:jc w:val="center"/>
        <w:rPr>
          <w:b w:val="0"/>
          <w:sz w:val="24"/>
          <w:szCs w:val="24"/>
        </w:rPr>
      </w:pPr>
      <w:bookmarkStart w:id="18" w:name="_Ref433639889"/>
      <w:bookmarkStart w:id="19" w:name="_Toc434915828"/>
      <w:r w:rsidRPr="00647F9E">
        <w:rPr>
          <w:b w:val="0"/>
          <w:sz w:val="24"/>
          <w:szCs w:val="24"/>
        </w:rPr>
        <w:t>Figure 2-</w:t>
      </w:r>
      <w:r w:rsidRPr="00647F9E">
        <w:rPr>
          <w:b w:val="0"/>
          <w:sz w:val="24"/>
          <w:szCs w:val="24"/>
        </w:rPr>
        <w:fldChar w:fldCharType="begin"/>
      </w:r>
      <w:r w:rsidRPr="00647F9E">
        <w:rPr>
          <w:b w:val="0"/>
          <w:sz w:val="24"/>
          <w:szCs w:val="24"/>
        </w:rPr>
        <w:instrText xml:space="preserve"> SEQ Figure \* ARABIC </w:instrText>
      </w:r>
      <w:r w:rsidRPr="00647F9E">
        <w:rPr>
          <w:b w:val="0"/>
          <w:sz w:val="24"/>
          <w:szCs w:val="24"/>
        </w:rPr>
        <w:fldChar w:fldCharType="separate"/>
      </w:r>
      <w:r w:rsidRPr="00647F9E">
        <w:rPr>
          <w:b w:val="0"/>
          <w:noProof/>
          <w:szCs w:val="24"/>
        </w:rPr>
        <w:t>4</w:t>
      </w:r>
      <w:r w:rsidRPr="00647F9E">
        <w:rPr>
          <w:b w:val="0"/>
          <w:sz w:val="24"/>
          <w:szCs w:val="24"/>
        </w:rPr>
        <w:fldChar w:fldCharType="end"/>
      </w:r>
      <w:bookmarkEnd w:id="18"/>
      <w:r w:rsidRPr="00647F9E">
        <w:rPr>
          <w:b w:val="0"/>
          <w:sz w:val="24"/>
          <w:szCs w:val="24"/>
        </w:rPr>
        <w:t>:</w:t>
      </w:r>
      <w:r w:rsidRPr="00935A8D">
        <w:rPr>
          <w:sz w:val="24"/>
          <w:szCs w:val="24"/>
        </w:rPr>
        <w:t xml:space="preserve"> </w:t>
      </w:r>
      <w:r w:rsidRPr="00935A8D">
        <w:rPr>
          <w:b w:val="0"/>
          <w:sz w:val="24"/>
          <w:szCs w:val="24"/>
        </w:rPr>
        <w:t>L</w:t>
      </w:r>
      <w:r>
        <w:rPr>
          <w:b w:val="0"/>
          <w:sz w:val="24"/>
          <w:szCs w:val="24"/>
        </w:rPr>
        <w:t>idar</w:t>
      </w:r>
      <w:r w:rsidRPr="00935A8D">
        <w:rPr>
          <w:b w:val="0"/>
          <w:sz w:val="24"/>
          <w:szCs w:val="24"/>
        </w:rPr>
        <w:t xml:space="preserve"> instrument showing a measurement</w:t>
      </w:r>
      <w:r>
        <w:rPr>
          <w:b w:val="0"/>
          <w:sz w:val="24"/>
          <w:szCs w:val="24"/>
        </w:rPr>
        <w:t>s</w:t>
      </w:r>
      <w:r w:rsidRPr="00935A8D">
        <w:rPr>
          <w:b w:val="0"/>
          <w:sz w:val="24"/>
          <w:szCs w:val="24"/>
        </w:rPr>
        <w:t xml:space="preserve"> in both the nadir and off</w:t>
      </w:r>
      <w:r>
        <w:rPr>
          <w:b w:val="0"/>
          <w:sz w:val="24"/>
          <w:szCs w:val="24"/>
        </w:rPr>
        <w:t>-</w:t>
      </w:r>
      <w:r w:rsidRPr="00935A8D">
        <w:rPr>
          <w:b w:val="0"/>
          <w:sz w:val="24"/>
          <w:szCs w:val="24"/>
        </w:rPr>
        <w:t>nadir lines of sight.</w:t>
      </w:r>
      <w:bookmarkEnd w:id="19"/>
    </w:p>
    <w:p w:rsidR="00AD10A6" w:rsidRPr="00935A8D" w:rsidRDefault="00AD10A6" w:rsidP="00935A8D"/>
    <w:p w:rsidR="00AD10A6" w:rsidRDefault="00AD10A6"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0.5 km vertically and 500 km horizontally (</w:t>
      </w:r>
      <w:r w:rsidRPr="00935A8D">
        <w:rPr>
          <w:i/>
        </w:rPr>
        <w:t>Vernier et al</w:t>
      </w:r>
      <w:r>
        <w:t>, 2011b</w:t>
      </w:r>
      <w:r w:rsidRPr="00222E24">
        <w:t>)</w:t>
      </w:r>
      <w:r>
        <w:t>.  Additionally, the uncertainty in the calibration with respect to the molecular background that is on the order of the stratospheric aerosol signal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AD10A6" w:rsidRDefault="00AD10A6" w:rsidP="003D416A">
      <w:pPr>
        <w:pStyle w:val="Heading2"/>
      </w:pPr>
      <w:bookmarkStart w:id="20" w:name="_Toc434915766"/>
      <w:r>
        <w:t>2.3.4 Limb Scatter</w:t>
      </w:r>
      <w:bookmarkEnd w:id="20"/>
    </w:p>
    <w:p w:rsidR="00AD10A6" w:rsidRDefault="00AD10A6"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w:instrText>
      </w:r>
      <w:r w:rsidRPr="00647F9E">
        <w:instrText xml:space="preserve"> \* MERGEFORMAT </w:instrText>
      </w:r>
      <w:r w:rsidRPr="00647F9E">
        <w:fldChar w:fldCharType="separate"/>
      </w:r>
      <w:r w:rsidRPr="00647F9E">
        <w:rPr>
          <w:szCs w:val="24"/>
        </w:rPr>
        <w:t>Figure 2-5</w:t>
      </w:r>
      <w:r w:rsidRPr="00647F9E">
        <w:fldChar w:fldCharType="end"/>
      </w:r>
      <w:r w:rsidRPr="009B5D10">
        <w:t>.</w:t>
      </w:r>
    </w:p>
    <w:p w:rsidR="00AD10A6" w:rsidRDefault="00AD10A6" w:rsidP="00954FF1">
      <w:pPr>
        <w:pStyle w:val="BodyText"/>
        <w:keepNext/>
        <w:ind w:firstLine="0"/>
      </w:pPr>
      <w:r>
        <w:rPr>
          <w:noProof/>
          <w:lang w:val="en-CA" w:eastAsia="en-CA"/>
        </w:rPr>
        <w:drawing>
          <wp:inline distT="0" distB="0" distL="0" distR="0" wp14:anchorId="2031C4A4" wp14:editId="3051800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D10A6" w:rsidRDefault="00AD10A6" w:rsidP="00954FF1">
      <w:pPr>
        <w:pStyle w:val="Caption"/>
        <w:spacing w:after="0"/>
        <w:jc w:val="center"/>
        <w:rPr>
          <w:b w:val="0"/>
          <w:sz w:val="24"/>
          <w:szCs w:val="24"/>
        </w:rPr>
      </w:pPr>
      <w:bookmarkStart w:id="21" w:name="_Ref434222559"/>
      <w:bookmarkStart w:id="22" w:name="_Toc434915829"/>
      <w:r w:rsidRPr="00647F9E">
        <w:rPr>
          <w:b w:val="0"/>
          <w:sz w:val="24"/>
          <w:szCs w:val="24"/>
        </w:rPr>
        <w:t>Figure 2-</w:t>
      </w:r>
      <w:r w:rsidRPr="00647F9E">
        <w:rPr>
          <w:b w:val="0"/>
          <w:sz w:val="24"/>
          <w:szCs w:val="24"/>
        </w:rPr>
        <w:fldChar w:fldCharType="begin"/>
      </w:r>
      <w:r w:rsidRPr="00647F9E">
        <w:rPr>
          <w:b w:val="0"/>
          <w:sz w:val="24"/>
          <w:szCs w:val="24"/>
        </w:rPr>
        <w:instrText xml:space="preserve"> SEQ Figure \* ARABIC </w:instrText>
      </w:r>
      <w:r w:rsidRPr="00647F9E">
        <w:rPr>
          <w:b w:val="0"/>
          <w:sz w:val="24"/>
          <w:szCs w:val="24"/>
        </w:rPr>
        <w:fldChar w:fldCharType="separate"/>
      </w:r>
      <w:r w:rsidRPr="00647F9E">
        <w:rPr>
          <w:b w:val="0"/>
          <w:noProof/>
          <w:szCs w:val="24"/>
        </w:rPr>
        <w:t>5</w:t>
      </w:r>
      <w:r w:rsidRPr="00647F9E">
        <w:rPr>
          <w:b w:val="0"/>
          <w:sz w:val="24"/>
          <w:szCs w:val="24"/>
        </w:rPr>
        <w:fldChar w:fldCharType="end"/>
      </w:r>
      <w:bookmarkEnd w:id="21"/>
      <w:r w:rsidRPr="00647F9E">
        <w:rPr>
          <w:b w:val="0"/>
          <w:sz w:val="24"/>
          <w:szCs w:val="24"/>
        </w:rPr>
        <w:t>:</w:t>
      </w:r>
      <w:r w:rsidRPr="00954FF1">
        <w:rPr>
          <w:sz w:val="24"/>
          <w:szCs w:val="24"/>
        </w:rPr>
        <w:t xml:space="preserve"> </w:t>
      </w:r>
      <w:r w:rsidRPr="00954FF1">
        <w:rPr>
          <w:b w:val="0"/>
          <w:sz w:val="24"/>
          <w:szCs w:val="24"/>
        </w:rPr>
        <w:t>Limb scattering geometry measurement for an instrument where single and multiple scattering events occur.</w:t>
      </w:r>
      <w:bookmarkEnd w:id="22"/>
    </w:p>
    <w:p w:rsidR="00AD10A6" w:rsidRPr="00954FF1" w:rsidRDefault="00AD10A6" w:rsidP="00954FF1"/>
    <w:p w:rsidR="00AD10A6" w:rsidRDefault="00AD10A6" w:rsidP="00954FF1">
      <w:pPr>
        <w:pStyle w:val="BodyText"/>
        <w:jc w:val="both"/>
      </w:pPr>
      <w:r>
        <w:t>The limb scatter method yields vertical resolution and allows for measurements to be taken during any daylight period with good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AD10A6" w:rsidRPr="00745CB4" w:rsidRDefault="00AD10A6"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measure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AD10A6" w:rsidRDefault="00AD10A6"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AD10A6" w:rsidRDefault="00AD10A6"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AD10A6" w:rsidRPr="00A24B7F" w:rsidRDefault="00AD10A6"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for wavelengths from 250-2000 nm which could eventually be used for aerosol extinction measurements.</w:t>
      </w:r>
    </w:p>
    <w:p w:rsidR="00AD10A6" w:rsidRDefault="00AD10A6" w:rsidP="003D416A">
      <w:pPr>
        <w:pStyle w:val="Heading1"/>
      </w:pPr>
      <w:bookmarkStart w:id="23" w:name="_Toc434915767"/>
      <w:r>
        <w:t>2.4 Radiative Transfer</w:t>
      </w:r>
      <w:bookmarkEnd w:id="23"/>
    </w:p>
    <w:p w:rsidR="00AD10A6" w:rsidRDefault="00AD10A6"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AD10A6" w:rsidRDefault="00AD10A6" w:rsidP="00D54B14">
      <w:pPr>
        <w:pStyle w:val="Heading2"/>
      </w:pPr>
      <w:bookmarkStart w:id="24" w:name="_Toc434915768"/>
      <w:r>
        <w:t>2.4.1 Scalar Radiative Transfer</w:t>
      </w:r>
      <w:bookmarkEnd w:id="24"/>
    </w:p>
    <w:p w:rsidR="00AD10A6" w:rsidRDefault="00AD10A6"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AD10A6" w:rsidRPr="00A15663" w:rsidRDefault="00AD10A6"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w:t>
            </w:r>
          </w:p>
        </w:tc>
      </w:tr>
    </w:tbl>
    <w:p w:rsidR="00AD10A6" w:rsidRDefault="00AD10A6" w:rsidP="003E0CAD">
      <w:pPr>
        <w:pStyle w:val="BodyText"/>
        <w:ind w:firstLine="0"/>
      </w:pPr>
      <w:r>
        <w:t>The extinction of the partials is a measure of the loss of light over a given distance and is defined as</w:t>
      </w:r>
    </w:p>
    <w:p w:rsidR="00AD10A6" w:rsidRDefault="00AD10A6" w:rsidP="003E0CAD">
      <w:pPr>
        <w:pStyle w:val="BodyText"/>
        <w:ind w:firstLine="0"/>
      </w:pPr>
      <w:r>
        <w:t xml:space="preserve">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(2.3)</w:t>
            </w:r>
          </w:p>
        </w:tc>
      </w:tr>
    </w:tbl>
    <w:p w:rsidR="00AD10A6" w:rsidRDefault="00AD10A6"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(2.4)</w:t>
            </w:r>
          </w:p>
        </w:tc>
      </w:tr>
    </w:tbl>
    <w:p w:rsidR="00AD10A6" w:rsidRDefault="00AD10A6"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(2.5)</w:t>
            </w:r>
          </w:p>
        </w:tc>
      </w:tr>
    </w:tbl>
    <w:p w:rsidR="00AD10A6" w:rsidRDefault="00AD10A6"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AD10A6" w:rsidRDefault="00AD10A6"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instruments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D400FE">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τ</m:t>
                    </m:r>
                  </m:e>
                </m:d>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(2.6)</w:t>
            </w:r>
          </w:p>
        </w:tc>
      </w:tr>
    </w:tbl>
    <w:p w:rsidR="00AD10A6" w:rsidRDefault="00AD10A6"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(2.7)</w:t>
            </w:r>
          </w:p>
        </w:tc>
      </w:tr>
    </w:tbl>
    <w:p w:rsidR="00AD10A6" w:rsidRDefault="00AD10A6"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D400FE">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=I(s)-J</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(2.8)</w:t>
            </w:r>
          </w:p>
        </w:tc>
      </w:tr>
    </w:tbl>
    <w:p w:rsidR="00AD10A6" w:rsidRDefault="00AD10A6"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65605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s</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(2.9)</w:t>
            </w:r>
          </w:p>
        </w:tc>
      </w:tr>
    </w:tbl>
    <w:p w:rsidR="00AD10A6" w:rsidRDefault="00AD10A6"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(2.10)</w:t>
            </w:r>
          </w:p>
        </w:tc>
      </w:tr>
    </w:tbl>
    <w:p w:rsidR="00AD10A6" w:rsidRDefault="00AD10A6"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(2.11)</w:t>
            </w:r>
          </w:p>
        </w:tc>
      </w:tr>
    </w:tbl>
    <w:p w:rsidR="00AD10A6" w:rsidRDefault="00AD10A6"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(2.12)</w:t>
            </w:r>
          </w:p>
        </w:tc>
      </w:tr>
    </w:tbl>
    <w:p w:rsidR="00AD10A6" w:rsidRDefault="00AD10A6"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AD10A6" w:rsidRDefault="00AD10A6"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(2.13)</w:t>
            </w:r>
          </w:p>
        </w:tc>
      </w:tr>
    </w:tbl>
    <w:p w:rsidR="00AD10A6" w:rsidRDefault="00AD10A6"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(2.14)</w:t>
            </w:r>
          </w:p>
        </w:tc>
      </w:tr>
    </w:tbl>
    <w:p w:rsidR="00AD10A6" w:rsidRDefault="00AD10A6"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AD10A6" w:rsidRDefault="00AD10A6"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(2.15)</w:t>
            </w:r>
          </w:p>
        </w:tc>
      </w:tr>
    </w:tbl>
    <w:p w:rsidR="00AD10A6" w:rsidRDefault="00AD10A6" w:rsidP="00851023">
      <w:pPr>
        <w:pStyle w:val="BodyText"/>
        <w:ind w:firstLine="0"/>
        <w:jc w:val="both"/>
      </w:pPr>
      <w:r>
        <w:t>The multiple scatter term is calculated until the contribution is sufficiently small to be negligible.</w:t>
      </w:r>
    </w:p>
    <w:p w:rsidR="00AD10A6" w:rsidRDefault="00AD10A6" w:rsidP="00FA7303">
      <w:pPr>
        <w:pStyle w:val="Heading2"/>
      </w:pPr>
      <w:bookmarkStart w:id="25" w:name="_Toc434915769"/>
      <w:r>
        <w:t>2.4.2 Vector Radiative Transfer</w:t>
      </w:r>
      <w:bookmarkEnd w:id="25"/>
    </w:p>
    <w:p w:rsidR="00AD10A6" w:rsidRDefault="00AD10A6"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(2.16)</w:t>
            </w:r>
          </w:p>
        </w:tc>
      </w:tr>
    </w:tbl>
    <w:p w:rsidR="00AD10A6" w:rsidRDefault="00AD10A6"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AD10A6" w:rsidRDefault="00AD10A6" w:rsidP="005530E3">
      <w:pPr>
        <w:pStyle w:val="BodyText"/>
        <w:ind w:firstLine="0"/>
        <w:jc w:val="both"/>
      </w:pPr>
      <w:r>
        <w:tab/>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0927B6">
        <w:tc>
          <w:tcPr>
            <w:tcW w:w="6804" w:type="dxa"/>
          </w:tcPr>
          <w:p w:rsidR="00AD10A6" w:rsidRPr="0076182D" w:rsidRDefault="00AD10A6"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AD10A6" w:rsidRDefault="00AD10A6" w:rsidP="000927B6">
            <w:pPr>
              <w:pStyle w:val="BodyText"/>
              <w:ind w:firstLine="0"/>
              <w:jc w:val="right"/>
            </w:pPr>
            <w:r>
              <w:t>(2.17)</w:t>
            </w:r>
          </w:p>
        </w:tc>
      </w:tr>
      <w:tr w:rsidR="00AD10A6" w:rsidTr="000927B6">
        <w:tc>
          <w:tcPr>
            <w:tcW w:w="6804" w:type="dxa"/>
          </w:tcPr>
          <w:p w:rsidR="00AD10A6" w:rsidRPr="0076182D" w:rsidRDefault="00AD10A6"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AD10A6" w:rsidRDefault="00AD10A6" w:rsidP="000927B6">
            <w:pPr>
              <w:pStyle w:val="BodyText"/>
              <w:ind w:firstLine="0"/>
              <w:jc w:val="right"/>
            </w:pPr>
            <w:r>
              <w:t>(2.18)</w:t>
            </w:r>
          </w:p>
        </w:tc>
      </w:tr>
    </w:tbl>
    <w:p w:rsidR="00AD10A6" w:rsidRDefault="00AD10A6"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not trivial, and stored in memory, which is four times the size of a standard scaler radiance calculations. </w:t>
      </w:r>
    </w:p>
    <w:p w:rsidR="00AD10A6" w:rsidRDefault="00AD10A6"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AD10A6" w:rsidRDefault="00AD10A6" w:rsidP="00FA7303">
      <w:pPr>
        <w:pStyle w:val="Heading2"/>
      </w:pPr>
      <w:bookmarkStart w:id="26" w:name="_Toc434915770"/>
      <w:r>
        <w:t>2.4.3 Rayleigh Scattering</w:t>
      </w:r>
      <w:bookmarkEnd w:id="26"/>
    </w:p>
    <w:p w:rsidR="00AD10A6" w:rsidRDefault="00AD10A6"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AD10A6"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(2.19)</w:t>
            </w:r>
          </w:p>
        </w:tc>
      </w:tr>
    </w:tbl>
    <w:p w:rsidR="00AD10A6" w:rsidRDefault="00AD10A6"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TODO:CHECK UNITS (</w:t>
      </w:r>
      <w:r>
        <w:rPr>
          <w:i/>
        </w:rPr>
        <w:t>Sneep and Ubachs</w:t>
      </w:r>
      <w:r>
        <w:t xml:space="preserve">, 2005). </w:t>
      </w:r>
    </w:p>
    <w:p w:rsidR="00AD10A6" w:rsidRDefault="00AD10A6"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AD10A6"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(2.20)</w:t>
            </w:r>
          </w:p>
        </w:tc>
      </w:tr>
    </w:tbl>
    <w:p w:rsidR="00AD10A6" w:rsidRDefault="00AD10A6" w:rsidP="002B54E1">
      <w:pPr>
        <w:pStyle w:val="BodyText"/>
        <w:ind w:firstLine="0"/>
        <w:jc w:val="both"/>
      </w:pPr>
      <w:r>
        <w:t xml:space="preserve">Each component of the phase matrix itself is smooth which allows for easy and accurate calculation for Rayleigh scattering. </w:t>
      </w:r>
    </w:p>
    <w:p w:rsidR="00AD10A6" w:rsidRDefault="00AD10A6" w:rsidP="00FA7303">
      <w:pPr>
        <w:pStyle w:val="Heading2"/>
      </w:pPr>
      <w:bookmarkStart w:id="27" w:name="_Toc434915771"/>
      <w:r>
        <w:t>2.4.4 Mie Scattering</w:t>
      </w:r>
      <w:bookmarkEnd w:id="27"/>
    </w:p>
    <w:p w:rsidR="00AD10A6" w:rsidRDefault="00AD10A6"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AD10A6"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(2.21)</w:t>
            </w:r>
          </w:p>
        </w:tc>
      </w:tr>
    </w:tbl>
    <w:p w:rsidR="00AD10A6" w:rsidRDefault="00AD10A6"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5519E0">
        <w:tc>
          <w:tcPr>
            <w:tcW w:w="6804" w:type="dxa"/>
          </w:tcPr>
          <w:p w:rsidR="00AD10A6" w:rsidRPr="008E2476" w:rsidRDefault="00AD10A6"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D10A6" w:rsidRDefault="00AD10A6" w:rsidP="0095383B">
            <w:pPr>
              <w:pStyle w:val="BodyText"/>
              <w:ind w:firstLine="0"/>
              <w:jc w:val="right"/>
            </w:pPr>
            <w:r>
              <w:t>(2.22)</w:t>
            </w:r>
          </w:p>
        </w:tc>
      </w:tr>
      <w:tr w:rsidR="00AD10A6" w:rsidTr="005519E0">
        <w:tc>
          <w:tcPr>
            <w:tcW w:w="6804" w:type="dxa"/>
          </w:tcPr>
          <w:p w:rsidR="00AD10A6" w:rsidRPr="008E2476" w:rsidRDefault="00AD10A6"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D10A6" w:rsidRDefault="00AD10A6" w:rsidP="0095383B">
            <w:pPr>
              <w:pStyle w:val="BodyText"/>
              <w:ind w:firstLine="0"/>
              <w:jc w:val="right"/>
            </w:pPr>
            <w:r>
              <w:t>(2.23)</w:t>
            </w:r>
          </w:p>
        </w:tc>
      </w:tr>
    </w:tbl>
    <w:p w:rsidR="00AD10A6" w:rsidRDefault="00AD10A6"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AD10A6" w:rsidTr="004A5F24">
        <w:tc>
          <w:tcPr>
            <w:tcW w:w="8221" w:type="dxa"/>
            <w:tcBorders>
              <w:top w:val="nil"/>
              <w:left w:val="nil"/>
              <w:bottom w:val="nil"/>
              <w:right w:val="nil"/>
            </w:tcBorders>
          </w:tcPr>
          <w:p w:rsidR="00AD10A6" w:rsidRPr="008E2476" w:rsidRDefault="00AD10A6"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AD10A6" w:rsidRDefault="00AD10A6" w:rsidP="004A5F24">
            <w:pPr>
              <w:pStyle w:val="BodyText"/>
              <w:ind w:left="32" w:hanging="32"/>
              <w:jc w:val="right"/>
            </w:pPr>
            <w:r>
              <w:t>(2.24)</w:t>
            </w:r>
          </w:p>
        </w:tc>
      </w:tr>
    </w:tbl>
    <w:p w:rsidR="00AD10A6" w:rsidRDefault="00AD10A6" w:rsidP="001E4300">
      <w:pPr>
        <w:pStyle w:val="BodyText"/>
        <w:ind w:firstLine="0"/>
        <w:jc w:val="both"/>
      </w:pPr>
      <w:r>
        <w:t xml:space="preserve">  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 and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1E4300">
        <w:tc>
          <w:tcPr>
            <w:tcW w:w="6804" w:type="dxa"/>
          </w:tcPr>
          <w:p w:rsidR="00AD10A6" w:rsidRPr="008E2476" w:rsidRDefault="00AD10A6"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D10A6" w:rsidRDefault="00AD10A6" w:rsidP="001E4300">
            <w:pPr>
              <w:pStyle w:val="BodyText"/>
              <w:ind w:firstLine="0"/>
              <w:jc w:val="right"/>
            </w:pPr>
            <w:r>
              <w:t>(2.25)</w:t>
            </w:r>
          </w:p>
        </w:tc>
      </w:tr>
      <w:tr w:rsidR="00AD10A6" w:rsidTr="001E4300">
        <w:tc>
          <w:tcPr>
            <w:tcW w:w="6804" w:type="dxa"/>
          </w:tcPr>
          <w:p w:rsidR="00AD10A6" w:rsidRPr="008E2476" w:rsidRDefault="00AD10A6"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D10A6" w:rsidRDefault="00AD10A6" w:rsidP="001E4300">
            <w:pPr>
              <w:pStyle w:val="BodyText"/>
              <w:ind w:firstLine="0"/>
              <w:jc w:val="right"/>
            </w:pPr>
            <w:r>
              <w:t>(2.26)</w:t>
            </w:r>
          </w:p>
        </w:tc>
      </w:tr>
    </w:tbl>
    <w:p w:rsidR="00AD10A6" w:rsidRDefault="00AD10A6"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AD10A6" w:rsidRDefault="00AD10A6"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AD10A6" w:rsidTr="00C23298">
        <w:tc>
          <w:tcPr>
            <w:tcW w:w="6804" w:type="dxa"/>
            <w:tcBorders>
              <w:top w:val="nil"/>
              <w:left w:val="nil"/>
              <w:bottom w:val="nil"/>
              <w:right w:val="nil"/>
            </w:tcBorders>
          </w:tcPr>
          <w:p w:rsidR="00AD10A6" w:rsidRPr="008E2476" w:rsidRDefault="00AD10A6"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AD10A6" w:rsidRDefault="00AD10A6" w:rsidP="00C452B7">
            <w:pPr>
              <w:pStyle w:val="BodyText"/>
              <w:ind w:firstLine="0"/>
              <w:jc w:val="right"/>
            </w:pPr>
            <w:r>
              <w:t>(2.27)</w:t>
            </w:r>
          </w:p>
        </w:tc>
      </w:tr>
    </w:tbl>
    <w:p w:rsidR="00AD10A6" w:rsidRDefault="00AD10A6" w:rsidP="00C452B7">
      <w:pPr>
        <w:pStyle w:val="BodyText"/>
        <w:ind w:firstLine="0"/>
        <w:jc w:val="both"/>
      </w:pPr>
      <w:r>
        <w:t>The weighted average is similarly performed to determine the effective phase function for a particle size distribution.</w:t>
      </w:r>
    </w:p>
    <w:p w:rsidR="00AD10A6" w:rsidRPr="00905A0C" w:rsidRDefault="00AD10A6" w:rsidP="00C452B7">
      <w:pPr>
        <w:pStyle w:val="BodyText"/>
        <w:ind w:firstLine="0"/>
        <w:jc w:val="both"/>
      </w:pPr>
      <w:r>
        <w:tab/>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AD10A6" w:rsidRDefault="00AD10A6" w:rsidP="00BA54C2">
      <w:pPr>
        <w:pStyle w:val="Heading2"/>
      </w:pPr>
      <w:bookmarkStart w:id="28" w:name="_Toc434915772"/>
      <w:r>
        <w:t>2.4.5 SASKTRAN Radiative Transfer Model</w:t>
      </w:r>
      <w:bookmarkEnd w:id="28"/>
    </w:p>
    <w:p w:rsidR="00AD10A6" w:rsidRDefault="00AD10A6"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encountering the surface of the earth is reflected at an efficiency, </w:t>
      </w:r>
      <m:oMath>
        <m:r>
          <w:rPr>
            <w:rFonts w:ascii="Cambria Math" w:hAnsi="Cambria Math"/>
          </w:rPr>
          <m:t>a</m:t>
        </m:r>
      </m:oMath>
      <w:r>
        <w:t xml:space="preserve"> known as the albedo, and is evenly distributed in all directions.</w:t>
      </w:r>
    </w:p>
    <w:p w:rsidR="00AD10A6" w:rsidRDefault="00AD10A6"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AD10A6" w:rsidRPr="00BA54C2" w:rsidRDefault="00AD10A6"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AD10A6" w:rsidRDefault="00AD10A6" w:rsidP="003D416A">
      <w:pPr>
        <w:pStyle w:val="Heading1"/>
      </w:pPr>
      <w:bookmarkStart w:id="29" w:name="_Toc434915773"/>
      <w:r>
        <w:t>2.5 ALI Prototype and Stratospheric Balloon Flight</w:t>
      </w:r>
      <w:bookmarkEnd w:id="29"/>
    </w:p>
    <w:bookmarkEnd w:id="10"/>
    <w:bookmarkEnd w:id="11"/>
    <w:bookmarkEnd w:id="12"/>
    <w:p w:rsidR="00AD10A6" w:rsidRPr="00BA54C2" w:rsidRDefault="00AD10A6" w:rsidP="00F84215">
      <w:pPr>
        <w:pStyle w:val="BodyText"/>
        <w:jc w:val="both"/>
        <w:rPr>
          <w:lang w:val="en-CA"/>
        </w:rPr>
        <w:sectPr w:rsidR="00AD10A6"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614" w:rsidRDefault="00991614">
      <w:r>
        <w:separator/>
      </w:r>
    </w:p>
  </w:endnote>
  <w:endnote w:type="continuationSeparator" w:id="0">
    <w:p w:rsidR="00991614" w:rsidRDefault="0099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0A6" w:rsidRDefault="00AD10A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614" w:rsidRDefault="00991614">
      <w:r>
        <w:separator/>
      </w:r>
    </w:p>
  </w:footnote>
  <w:footnote w:type="continuationSeparator" w:id="0">
    <w:p w:rsidR="00991614" w:rsidRDefault="00991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0A6" w:rsidRDefault="00AD10A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7F4" w:rsidRDefault="00DE77F4">
    <w:pPr>
      <w:pStyle w:val="Header"/>
    </w:pPr>
    <w:r>
      <w:rPr>
        <w:rStyle w:val="PageNumber"/>
      </w:rPr>
      <w:fldChar w:fldCharType="begin"/>
    </w:r>
    <w:r>
      <w:rPr>
        <w:rStyle w:val="PageNumber"/>
      </w:rPr>
      <w:instrText xml:space="preserve"> PAGE </w:instrText>
    </w:r>
    <w:r>
      <w:rPr>
        <w:rStyle w:val="PageNumber"/>
      </w:rPr>
      <w:fldChar w:fldCharType="separate"/>
    </w:r>
    <w:r w:rsidR="00F70CC6">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7"/>
  </w:num>
  <w:num w:numId="7">
    <w:abstractNumId w:val="0"/>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3A8D"/>
    <w:rsid w:val="00046089"/>
    <w:rsid w:val="0005342F"/>
    <w:rsid w:val="00053524"/>
    <w:rsid w:val="00060EA7"/>
    <w:rsid w:val="00067D98"/>
    <w:rsid w:val="000733D8"/>
    <w:rsid w:val="000815C8"/>
    <w:rsid w:val="00091C09"/>
    <w:rsid w:val="000927B6"/>
    <w:rsid w:val="00097F5B"/>
    <w:rsid w:val="000B7578"/>
    <w:rsid w:val="000C4288"/>
    <w:rsid w:val="000C438C"/>
    <w:rsid w:val="000D5FAB"/>
    <w:rsid w:val="000E00D9"/>
    <w:rsid w:val="000E7F58"/>
    <w:rsid w:val="00126FBA"/>
    <w:rsid w:val="00131AE2"/>
    <w:rsid w:val="00132E7F"/>
    <w:rsid w:val="001345CF"/>
    <w:rsid w:val="00137DE4"/>
    <w:rsid w:val="00151ED9"/>
    <w:rsid w:val="00153059"/>
    <w:rsid w:val="00157783"/>
    <w:rsid w:val="00160D81"/>
    <w:rsid w:val="00172D78"/>
    <w:rsid w:val="00173883"/>
    <w:rsid w:val="0017417B"/>
    <w:rsid w:val="00176DE8"/>
    <w:rsid w:val="00177C4A"/>
    <w:rsid w:val="001A33E5"/>
    <w:rsid w:val="001A53CB"/>
    <w:rsid w:val="001A647C"/>
    <w:rsid w:val="001A6DB6"/>
    <w:rsid w:val="001C2D1D"/>
    <w:rsid w:val="001C69C9"/>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4AD3"/>
    <w:rsid w:val="002B1B85"/>
    <w:rsid w:val="002B3FC6"/>
    <w:rsid w:val="002B54E1"/>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73FA"/>
    <w:rsid w:val="004B0A47"/>
    <w:rsid w:val="004D4F13"/>
    <w:rsid w:val="004E0A29"/>
    <w:rsid w:val="0050336A"/>
    <w:rsid w:val="005210D8"/>
    <w:rsid w:val="005344FB"/>
    <w:rsid w:val="005349CC"/>
    <w:rsid w:val="00542D3D"/>
    <w:rsid w:val="00544EBD"/>
    <w:rsid w:val="00547C57"/>
    <w:rsid w:val="005519E0"/>
    <w:rsid w:val="005530E3"/>
    <w:rsid w:val="00554BBB"/>
    <w:rsid w:val="00556C7F"/>
    <w:rsid w:val="005577B0"/>
    <w:rsid w:val="00565F67"/>
    <w:rsid w:val="00591F92"/>
    <w:rsid w:val="005B3B3A"/>
    <w:rsid w:val="005B3C39"/>
    <w:rsid w:val="005C4C73"/>
    <w:rsid w:val="005D7098"/>
    <w:rsid w:val="005E36A6"/>
    <w:rsid w:val="005F331B"/>
    <w:rsid w:val="005F360B"/>
    <w:rsid w:val="005F41A7"/>
    <w:rsid w:val="005F5809"/>
    <w:rsid w:val="006008D1"/>
    <w:rsid w:val="006069EB"/>
    <w:rsid w:val="0061633B"/>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6349"/>
    <w:rsid w:val="00781FF2"/>
    <w:rsid w:val="0079593C"/>
    <w:rsid w:val="007A011B"/>
    <w:rsid w:val="007A37B4"/>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65D4"/>
    <w:rsid w:val="008C71CD"/>
    <w:rsid w:val="008D2841"/>
    <w:rsid w:val="008E2476"/>
    <w:rsid w:val="008E7462"/>
    <w:rsid w:val="008F4FCA"/>
    <w:rsid w:val="009007CE"/>
    <w:rsid w:val="00905A0C"/>
    <w:rsid w:val="009123D8"/>
    <w:rsid w:val="0093015B"/>
    <w:rsid w:val="00935626"/>
    <w:rsid w:val="00935A8D"/>
    <w:rsid w:val="00935F44"/>
    <w:rsid w:val="00937999"/>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23BA9"/>
    <w:rsid w:val="00B27CF1"/>
    <w:rsid w:val="00B439C6"/>
    <w:rsid w:val="00B54433"/>
    <w:rsid w:val="00B648AE"/>
    <w:rsid w:val="00B65FEF"/>
    <w:rsid w:val="00B73279"/>
    <w:rsid w:val="00B83AF5"/>
    <w:rsid w:val="00B87FEE"/>
    <w:rsid w:val="00B90AA2"/>
    <w:rsid w:val="00BA46A1"/>
    <w:rsid w:val="00BA54C2"/>
    <w:rsid w:val="00BA68D4"/>
    <w:rsid w:val="00C23298"/>
    <w:rsid w:val="00C452B7"/>
    <w:rsid w:val="00C53FD1"/>
    <w:rsid w:val="00C5731C"/>
    <w:rsid w:val="00C65F0D"/>
    <w:rsid w:val="00C67D1F"/>
    <w:rsid w:val="00CA402F"/>
    <w:rsid w:val="00CA6687"/>
    <w:rsid w:val="00CB7E85"/>
    <w:rsid w:val="00CC3714"/>
    <w:rsid w:val="00CC6677"/>
    <w:rsid w:val="00CD347B"/>
    <w:rsid w:val="00CE1F87"/>
    <w:rsid w:val="00CE2D48"/>
    <w:rsid w:val="00CE368C"/>
    <w:rsid w:val="00CE3695"/>
    <w:rsid w:val="00D142BD"/>
    <w:rsid w:val="00D400FE"/>
    <w:rsid w:val="00D4123E"/>
    <w:rsid w:val="00D4722C"/>
    <w:rsid w:val="00D54B14"/>
    <w:rsid w:val="00D70117"/>
    <w:rsid w:val="00D72942"/>
    <w:rsid w:val="00DA1E49"/>
    <w:rsid w:val="00DB3618"/>
    <w:rsid w:val="00DB4562"/>
    <w:rsid w:val="00DB570A"/>
    <w:rsid w:val="00DC5BC6"/>
    <w:rsid w:val="00DD22CA"/>
    <w:rsid w:val="00DD3820"/>
    <w:rsid w:val="00DE0162"/>
    <w:rsid w:val="00DE77F4"/>
    <w:rsid w:val="00DF2E6A"/>
    <w:rsid w:val="00DF5010"/>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uiPriority w:val="9"/>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EB3C-85DC-49CC-882D-B977BFF6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17504</TotalTime>
  <Pages>1</Pages>
  <Words>6488</Words>
  <Characters>36982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147</cp:revision>
  <dcterms:created xsi:type="dcterms:W3CDTF">2015-08-27T21:13:00Z</dcterms:created>
  <dcterms:modified xsi:type="dcterms:W3CDTF">2015-11-10T16:19:00Z</dcterms:modified>
</cp:coreProperties>
</file>