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3A7C" w:rsidRPr="008359F9" w:rsidRDefault="004F3A7C"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4F3A7C" w:rsidRDefault="004F3A7C">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9680331"/>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4F3A7C" w:rsidRDefault="004F3A7C" w:rsidP="007C6C0E">
      <w:pPr>
        <w:pStyle w:val="Heading1"/>
      </w:pPr>
      <w:bookmarkStart w:id="8" w:name="_Toc439680332"/>
      <w:r>
        <w:t>5.1 Stratospheric Balloon Flight</w:t>
      </w:r>
      <w:bookmarkEnd w:id="8"/>
    </w:p>
    <w:p w:rsidR="004F3A7C" w:rsidRPr="007C6C0E" w:rsidRDefault="004F3A7C" w:rsidP="002F1C15">
      <w:pPr>
        <w:pStyle w:val="BodyText"/>
        <w:jc w:val="both"/>
      </w:pPr>
      <w:r>
        <w:t>After the completion of the ALI system tests on August 18, 2014, the instrument was transported to Timmins, Ontario and preparations were underwent for the balloon launch from August 25, 2014 until September 18, 2014. During this balloon campaign, there were seven balloon launches with ALI being a part of the seventh balloon. The flight of ALI took place on September 19, 2014.</w:t>
      </w:r>
    </w:p>
    <w:p w:rsidR="004F3A7C" w:rsidRDefault="004F3A7C" w:rsidP="00901785">
      <w:pPr>
        <w:pStyle w:val="Heading2"/>
      </w:pPr>
      <w:bookmarkStart w:id="9" w:name="_Toc439680333"/>
      <w:r>
        <w:t>5.1.1 Preflight Preparations</w:t>
      </w:r>
      <w:bookmarkEnd w:id="9"/>
    </w:p>
    <w:p w:rsidR="004F3A7C" w:rsidRDefault="004F3A7C" w:rsidP="002F1C15">
      <w:pPr>
        <w:pStyle w:val="BodyText"/>
        <w:jc w:val="both"/>
      </w:pPr>
      <w:r>
        <w:t>The Canadian Space Agency (CSA) balloon launch facility in Timmins, Ontario is located at the Victor M. Power Airport (48.47</w:t>
      </w:r>
      <w:r>
        <w:rPr>
          <w:vertAlign w:val="superscript"/>
        </w:rPr>
        <w:t>o</w:t>
      </w:r>
      <w:r>
        <w:t>N 81.33</w:t>
      </w:r>
      <w:r>
        <w:rPr>
          <w:vertAlign w:val="superscript"/>
        </w:rPr>
        <w:t>o</w:t>
      </w:r>
      <w:r>
        <w:t xml:space="preserve">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 ALI needed to be integrated onto the </w:t>
      </w:r>
      <w:r>
        <w:rPr>
          <w:lang w:val="en-CA" w:eastAsia="en-CA"/>
        </w:rPr>
        <w:t>Centre National d'Etudes Spatiales</w:t>
      </w:r>
      <w:r>
        <w:t xml:space="preserve"> (CNES) CARMEN-2 gondola. </w:t>
      </w:r>
    </w:p>
    <w:p w:rsidR="004F3A7C" w:rsidRDefault="004F3A7C" w:rsidP="002F1C15">
      <w:pPr>
        <w:pStyle w:val="BodyText"/>
        <w:jc w:val="both"/>
      </w:pPr>
      <w:r>
        <w:t xml:space="preserve">ALI was unpacked and set up on a test bench at the launch facility. A visual inspection occurred to verify that no obvious damage occurred to the instrument during transportation. Once completed, ALI was connected to its electronics and power boxes and was powered on. A ground station computer was used to connect to ALI and preform a system check, including verification of automated startup, establishment of telemetry connection, ensuring that the system powered on correctly with no errors and that the science operation program functioned. With this test it was verified that no functional problems occurred to the device during transportation, and all temperature and voltage sensors, GPS module, and CCD camera were reporting valid diagnostic values. </w:t>
      </w:r>
    </w:p>
    <w:p w:rsidR="004F3A7C" w:rsidRDefault="004F3A7C" w:rsidP="002F1C15">
      <w:pPr>
        <w:pStyle w:val="BodyText"/>
        <w:jc w:val="both"/>
      </w:pPr>
      <w:r>
        <w:t>Once the ALI system was verified to be operational,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ones taken in the laboratory before leaving Saskatoon.</w:t>
      </w:r>
    </w:p>
    <w:p w:rsidR="004F3A7C" w:rsidRDefault="004F3A7C" w:rsidP="0085229E">
      <w:pPr>
        <w:pStyle w:val="BodyText"/>
        <w:jc w:val="both"/>
      </w:pPr>
      <w:r>
        <w:t xml:space="preserve">Following the successful test of ALI,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A27E22">
        <w:t>Figure 5-</w:t>
      </w:r>
      <w:r w:rsidRPr="00A27E22">
        <w:rPr>
          <w:noProof/>
        </w:rPr>
        <w:t>1</w:t>
      </w:r>
      <w:r w:rsidRPr="00A27E22">
        <w:fldChar w:fldCharType="end"/>
      </w:r>
      <w:r>
        <w:t>. The orange o-ring was removed with associated sealing components and the vacuum seal was broken. The chamber panel was replaced and ALI was moved back to the integration hall and another set of test resolution targets were taken to verify the correct operation of ALI. All resolution targets were similar with the set before the chamber was unsealed except there was approximately a 5% drop in counts which may have been caused by unsealing the chamber or a change in the lighting conditions of the resolution target.</w:t>
      </w:r>
    </w:p>
    <w:p w:rsidR="004F3A7C" w:rsidRDefault="004F3A7C" w:rsidP="0085229E">
      <w:pPr>
        <w:pStyle w:val="BodyText"/>
        <w:keepNext/>
        <w:ind w:firstLine="0"/>
        <w:jc w:val="center"/>
      </w:pPr>
      <w:r>
        <w:rPr>
          <w:noProof/>
          <w:lang w:val="en-CA" w:eastAsia="en-CA"/>
        </w:rPr>
        <w:drawing>
          <wp:inline distT="0" distB="0" distL="0" distR="0" wp14:anchorId="64CC8B25" wp14:editId="1602E927">
            <wp:extent cx="2346024" cy="37922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4F3A7C" w:rsidRDefault="004F3A7C" w:rsidP="0085229E">
      <w:pPr>
        <w:pStyle w:val="Caption"/>
        <w:jc w:val="center"/>
      </w:pPr>
      <w:bookmarkStart w:id="10" w:name="_Ref434413730"/>
      <w:bookmarkStart w:id="11" w:name="_Toc439680459"/>
      <w:r w:rsidRPr="00A25D0C">
        <w:rPr>
          <w:b/>
        </w:rPr>
        <w:t>Figure 5-</w:t>
      </w:r>
      <w:bookmarkEnd w:id="10"/>
      <w:r>
        <w:rPr>
          <w:b/>
        </w:rPr>
        <w:fldChar w:fldCharType="begin"/>
      </w:r>
      <w:r>
        <w:rPr>
          <w:b/>
        </w:rPr>
        <w:instrText xml:space="preserve"> SEQ Figure \* ARABIC \r 1 </w:instrText>
      </w:r>
      <w:r>
        <w:rPr>
          <w:b/>
        </w:rPr>
        <w:fldChar w:fldCharType="separate"/>
      </w:r>
      <w:r>
        <w:rPr>
          <w:b/>
          <w:noProof/>
        </w:rPr>
        <w:t>1</w:t>
      </w:r>
      <w:r>
        <w:rPr>
          <w:b/>
        </w:rPr>
        <w:fldChar w:fldCharType="end"/>
      </w:r>
      <w:r w:rsidRPr="00A25D0C">
        <w:rPr>
          <w:b/>
        </w:rPr>
        <w:t>:</w:t>
      </w:r>
      <w:r>
        <w:t xml:space="preserve"> Side of the QSI CCD with the panel that contains the vacuum seal opened. The orange o-ring seen in the cavity is removed from the chamber to open the vacuum seal to the camera's CCD chip.</w:t>
      </w:r>
      <w:bookmarkEnd w:id="11"/>
    </w:p>
    <w:p w:rsidR="004F3A7C" w:rsidRPr="0085229E" w:rsidRDefault="004F3A7C" w:rsidP="0085229E"/>
    <w:p w:rsidR="004F3A7C" w:rsidRDefault="004F3A7C" w:rsidP="00A11105">
      <w:pPr>
        <w:pStyle w:val="BodyText"/>
        <w:jc w:val="both"/>
      </w:pPr>
      <w:r>
        <w:t>The next step before ALI could be integrated was to add thermal shielding in order to protect ALI from the thermal environment at approximately 35 km. The first thermal concern was the instrument temperature falling to a point were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 xml:space="preserve">C. Insulation, in the form of foam, was added around the exterior of the instrument to give ALI thermal isolation from the cold environment. The second concern was once CARMEN-2 was at float altitude, ALI would have to be able to survive the direct heating from the sun's radiation which could cause overheating. The impact of the sun's energy was reduced on ALI by adding a thermal reflector to the outside of the thermal insulation which would reflect a portion of the incoming solar radiation away from ALI. </w:t>
      </w:r>
    </w:p>
    <w:p w:rsidR="004F3A7C" w:rsidRDefault="004F3A7C"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C31226">
        <w:t>Figure 5-</w:t>
      </w:r>
      <w:r w:rsidRPr="00C31226">
        <w:rPr>
          <w:noProof/>
        </w:rPr>
        <w:t>2</w:t>
      </w:r>
      <w:r w:rsidRPr="00C31226">
        <w:fldChar w:fldCharType="end"/>
      </w:r>
      <w:r>
        <w:t xml:space="preserve"> and ALI used the power and communication subsystems of CARMEN-2. Testing was performed with collaboration from the CARMEN-2 team to verify that there were no issues between ALI and CARMEN-2</w:t>
      </w:r>
      <w:r>
        <w:rPr>
          <w:lang w:val="en-CA"/>
        </w:rPr>
        <w:t>’s</w:t>
      </w:r>
      <w:r>
        <w:t xml:space="preserve"> systems. A problem was found in the communication module, named Siren, between ALI and the ground station computer. With assistance from the CARMEN-2 team, the correct Ethernet settings were determined and a correction to the ALI operation code was applied. </w:t>
      </w:r>
    </w:p>
    <w:p w:rsidR="004F3A7C" w:rsidRDefault="004F3A7C" w:rsidP="00A11105">
      <w:pPr>
        <w:pStyle w:val="BodyText"/>
        <w:jc w:val="both"/>
      </w:pPr>
      <w:r>
        <w:t>During the integration phase, it should be noted that several instruments were also being verified with the CARMEN-2 systems for integration onto the gondola including four other Canadian instruments, such as the OSRIS development model (</w:t>
      </w:r>
      <w:r>
        <w:rPr>
          <w:i/>
        </w:rPr>
        <w:t>Kozun</w:t>
      </w:r>
      <w:r>
        <w:t xml:space="preserve">, 2015; </w:t>
      </w:r>
      <w:r>
        <w:rPr>
          <w:i/>
        </w:rPr>
        <w:t>Taylor</w:t>
      </w:r>
      <w:r>
        <w:t>, 2015) and SHOW which measures water vapour.</w:t>
      </w:r>
    </w:p>
    <w:p w:rsidR="004F3A7C" w:rsidRDefault="004F3A7C"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4F3A7C" w:rsidRDefault="004F3A7C" w:rsidP="00A9480C">
      <w:pPr>
        <w:pStyle w:val="BodyText"/>
        <w:keepNext/>
        <w:ind w:firstLine="0"/>
        <w:jc w:val="center"/>
      </w:pPr>
      <w:r>
        <w:rPr>
          <w:noProof/>
          <w:lang w:val="en-CA" w:eastAsia="en-CA"/>
        </w:rPr>
        <w:drawing>
          <wp:inline distT="0" distB="0" distL="0" distR="0" wp14:anchorId="08B7476D" wp14:editId="7A3BD44C">
            <wp:extent cx="3360578" cy="3485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4F3A7C" w:rsidRDefault="004F3A7C" w:rsidP="00A9480C">
      <w:pPr>
        <w:pStyle w:val="Caption"/>
        <w:jc w:val="center"/>
      </w:pPr>
      <w:bookmarkStart w:id="12" w:name="_Ref434414795"/>
      <w:bookmarkStart w:id="13" w:name="_Toc439680460"/>
      <w:r w:rsidRPr="00A9480C">
        <w:rPr>
          <w:b/>
        </w:rPr>
        <w:t>Figure 5-</w:t>
      </w:r>
      <w:r w:rsidRPr="00A9480C">
        <w:rPr>
          <w:b/>
        </w:rPr>
        <w:fldChar w:fldCharType="begin"/>
      </w:r>
      <w:r w:rsidRPr="00A9480C">
        <w:rPr>
          <w:b/>
        </w:rPr>
        <w:instrText xml:space="preserve"> SEQ Figure \* ARABIC </w:instrText>
      </w:r>
      <w:r w:rsidRPr="00A9480C">
        <w:rPr>
          <w:b/>
        </w:rPr>
        <w:fldChar w:fldCharType="separate"/>
      </w:r>
      <w:r>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4F3A7C" w:rsidRDefault="004F3A7C" w:rsidP="00A11105">
      <w:pPr>
        <w:pStyle w:val="BodyText"/>
        <w:spacing w:line="240" w:lineRule="auto"/>
      </w:pPr>
    </w:p>
    <w:p w:rsidR="004F3A7C" w:rsidRDefault="004F3A7C" w:rsidP="005B755D">
      <w:pPr>
        <w:pStyle w:val="BodyText"/>
        <w:jc w:val="both"/>
      </w:pPr>
    </w:p>
    <w:p w:rsidR="004F3A7C" w:rsidRDefault="004F3A7C" w:rsidP="00901785">
      <w:pPr>
        <w:pStyle w:val="Heading2"/>
      </w:pPr>
      <w:bookmarkStart w:id="14" w:name="_Toc439680334"/>
      <w:r>
        <w:t>5.1.2 Balloon Flight</w:t>
      </w:r>
      <w:bookmarkEnd w:id="14"/>
    </w:p>
    <w:p w:rsidR="004F3A7C" w:rsidRDefault="004F3A7C" w:rsidP="003D11DD">
      <w:pPr>
        <w:pStyle w:val="BodyText"/>
        <w:jc w:val="both"/>
      </w:pPr>
      <w:r>
        <w:t>The flight plan for the CARMEN-2 gondola was once float altitude was reached and the sun had risen ALI, OSIRIS, and SHOW would perform their operational missions for the first four hours of the campaign. The operational objectives for ALI included a dark imaging suite for calibration purposes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4F3A7C" w:rsidRDefault="004F3A7C" w:rsidP="003D11DD">
      <w:pPr>
        <w:pStyle w:val="BodyText"/>
        <w:jc w:val="both"/>
      </w:pPr>
      <w:r>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4F3A7C" w:rsidRDefault="004F3A7C"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t>Figure 5-</w:t>
      </w:r>
      <w:r>
        <w:rPr>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127771">
        <w:t>Figure 5-</w:t>
      </w:r>
      <w:r w:rsidRPr="00127771">
        <w:rPr>
          <w:noProof/>
        </w:rPr>
        <w:t>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attached just on the inside of ALI right by the entrance aperture for the system and monitors the temperature at the front of the system. The camera sensor is attached to the back of the CCD camera and the RF driver sensors measures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can even be seen on the interior CCD and RF driver sensors which are isolated from the exterior temperature. After the internal temperature drop, the system reaches an equilibrium temperature until the sun rises and solar radiation comes into contact on the instrument at approximately 10:00 UTC at which point there is an increases in the system’s temperature. The temperature of the system are kept within operating range with the aid of the reflective material during the flight.</w:t>
      </w:r>
    </w:p>
    <w:p w:rsidR="004F3A7C" w:rsidRDefault="004F3A7C" w:rsidP="00BD1AA9">
      <w:pPr>
        <w:pStyle w:val="BodyText"/>
        <w:keepNext/>
        <w:ind w:firstLine="0"/>
      </w:pPr>
      <w:r>
        <w:rPr>
          <w:noProof/>
          <w:lang w:val="en-CA" w:eastAsia="en-CA"/>
        </w:rPr>
        <w:drawing>
          <wp:inline distT="0" distB="0" distL="0" distR="0" wp14:anchorId="644C4E2F" wp14:editId="5E60548A">
            <wp:extent cx="594360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4F3A7C" w:rsidRDefault="004F3A7C" w:rsidP="00BD1AA9">
      <w:pPr>
        <w:pStyle w:val="Caption"/>
        <w:jc w:val="center"/>
      </w:pPr>
      <w:bookmarkStart w:id="15" w:name="_Ref434434702"/>
      <w:bookmarkStart w:id="16" w:name="_Toc439680461"/>
      <w:r w:rsidRPr="00127771">
        <w:rPr>
          <w:b/>
        </w:rPr>
        <w:t>Figure 5-</w:t>
      </w:r>
      <w:r w:rsidRPr="00127771">
        <w:rPr>
          <w:b/>
        </w:rPr>
        <w:fldChar w:fldCharType="begin"/>
      </w:r>
      <w:r w:rsidRPr="00127771">
        <w:rPr>
          <w:b/>
        </w:rPr>
        <w:instrText xml:space="preserve"> SEQ Figure \* ARABIC </w:instrText>
      </w:r>
      <w:r w:rsidRPr="00127771">
        <w:rPr>
          <w:b/>
        </w:rPr>
        <w:fldChar w:fldCharType="separate"/>
      </w:r>
      <w:r>
        <w:rPr>
          <w:b/>
          <w:noProof/>
        </w:rPr>
        <w:t>3</w:t>
      </w:r>
      <w:r w:rsidRPr="00127771">
        <w:rPr>
          <w:b/>
        </w:rPr>
        <w:fldChar w:fldCharType="end"/>
      </w:r>
      <w:bookmarkEnd w:id="15"/>
      <w:r w:rsidRPr="00127771">
        <w:rPr>
          <w:b/>
        </w:rPr>
        <w:t>:</w:t>
      </w:r>
      <w:r>
        <w:t xml:space="preserve"> </w:t>
      </w:r>
      <w:r w:rsidRPr="00222E24">
        <w:t>(</w:t>
      </w:r>
      <w:r>
        <w:t>a</w:t>
      </w:r>
      <w:r w:rsidRPr="00222E24">
        <w:t>) The GPS data from ALI during the Nimbus 7 mission generated via Google Earth. The colour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4F3A7C" w:rsidRPr="00BD1AA9" w:rsidRDefault="004F3A7C" w:rsidP="00BD1AA9"/>
    <w:p w:rsidR="004F3A7C" w:rsidRDefault="004F3A7C" w:rsidP="00BB608B">
      <w:pPr>
        <w:pStyle w:val="BodyText"/>
        <w:jc w:val="both"/>
      </w:pPr>
      <w:r w:rsidRPr="00222E24">
        <w:t>During the mission, ALI operated in two primary acquisition modes, a calibration mode and an aerosol imaging mode. The first mode, the calibration mode, was primarily used during as</w:t>
      </w:r>
      <w:r>
        <w:t>cent when the gondola was in</w:t>
      </w:r>
      <w:r w:rsidRPr="00222E24">
        <w:t xml:space="preserve"> darkness and intermittently between </w:t>
      </w:r>
      <w:r>
        <w:t xml:space="preserve">the </w:t>
      </w:r>
      <w:r w:rsidRPr="00222E24">
        <w:t>aerosol mode during sunlit conditions. During this mode</w:t>
      </w:r>
      <w:r>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4F3A7C" w:rsidRDefault="004F3A7C"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across the spectral range (650-950 nm every 25 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xml:space="preserve"> in blue, which were the exposure times determined during the roof testing of ALI (see section 3.6.1). However, during the flight it was determined that the calculated exposure times were not long enough and the images were underexposed. The underexposure is believed to be caused by the initial exposure time calibration curves being calculated with simulated scaler radiance since the SASKTRAN-HR polarization module had not yet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4F3A7C" w:rsidTr="00ED6DE1">
        <w:tc>
          <w:tcPr>
            <w:tcW w:w="6804" w:type="dxa"/>
            <w:tcBorders>
              <w:top w:val="nil"/>
              <w:left w:val="nil"/>
              <w:bottom w:val="nil"/>
              <w:right w:val="nil"/>
            </w:tcBorders>
          </w:tcPr>
          <w:p w:rsidR="004F3A7C" w:rsidRPr="00C40C6B" w:rsidRDefault="004F3A7C"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4F3A7C" w:rsidRDefault="004F3A7C" w:rsidP="00BB608B">
            <w:pPr>
              <w:pStyle w:val="BodyText"/>
              <w:ind w:firstLine="0"/>
              <w:jc w:val="right"/>
            </w:pPr>
            <w:r>
              <w:t>(5.1)</w:t>
            </w:r>
          </w:p>
        </w:tc>
      </w:tr>
    </w:tbl>
    <w:p w:rsidR="004F3A7C" w:rsidRPr="004A1F42" w:rsidRDefault="004F3A7C" w:rsidP="006B708C">
      <w:pPr>
        <w:pStyle w:val="BodyText"/>
        <w:ind w:firstLine="0"/>
        <w:jc w:val="both"/>
      </w:pPr>
      <w:r>
        <w:t xml:space="preserve">where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4F3A7C" w:rsidRDefault="004F3A7C" w:rsidP="00960C5C">
      <w:pPr>
        <w:pStyle w:val="BodyText"/>
        <w:jc w:val="both"/>
      </w:pPr>
      <w:r>
        <w:t>The Nimbus 7 flight lasted for 16 hours 19 minutes with a successful landing at 21:54 UTC. During the flight, ALI successfully gathered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verified and processed.</w:t>
      </w:r>
    </w:p>
    <w:p w:rsidR="004F3A7C" w:rsidRDefault="004F3A7C" w:rsidP="009D786C">
      <w:pPr>
        <w:pStyle w:val="BodyText"/>
        <w:keepNext/>
        <w:ind w:firstLine="0"/>
        <w:jc w:val="center"/>
      </w:pPr>
      <w:r>
        <w:rPr>
          <w:noProof/>
          <w:lang w:val="en-CA" w:eastAsia="en-CA"/>
        </w:rPr>
        <w:drawing>
          <wp:inline distT="0" distB="0" distL="0" distR="0" wp14:anchorId="30980874" wp14:editId="53890735">
            <wp:extent cx="5489043" cy="273044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4F3A7C" w:rsidRDefault="004F3A7C" w:rsidP="009D786C">
      <w:pPr>
        <w:pStyle w:val="Caption"/>
        <w:jc w:val="center"/>
      </w:pPr>
      <w:bookmarkStart w:id="17" w:name="_Ref434494474"/>
      <w:bookmarkStart w:id="18" w:name="_Toc439680462"/>
      <w:r w:rsidRPr="004A1F42">
        <w:rPr>
          <w:b/>
        </w:rPr>
        <w:t>Figure 5-</w:t>
      </w:r>
      <w:r w:rsidRPr="004A1F42">
        <w:rPr>
          <w:b/>
        </w:rPr>
        <w:fldChar w:fldCharType="begin"/>
      </w:r>
      <w:r w:rsidRPr="004A1F42">
        <w:rPr>
          <w:b/>
        </w:rPr>
        <w:instrText xml:space="preserve"> SEQ Figure \* ARABIC </w:instrText>
      </w:r>
      <w:r w:rsidRPr="004A1F42">
        <w:rPr>
          <w:b/>
        </w:rPr>
        <w:fldChar w:fldCharType="separate"/>
      </w:r>
      <w:r>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4F3A7C" w:rsidRPr="009D786C" w:rsidRDefault="004F3A7C" w:rsidP="009D786C"/>
    <w:p w:rsidR="004F3A7C" w:rsidRDefault="004F3A7C" w:rsidP="00901785">
      <w:pPr>
        <w:pStyle w:val="Heading1"/>
      </w:pPr>
      <w:bookmarkStart w:id="19" w:name="_Toc439680335"/>
      <w:r>
        <w:t>5.2 Limb Measurements</w:t>
      </w:r>
      <w:bookmarkEnd w:id="19"/>
    </w:p>
    <w:p w:rsidR="004F3A7C" w:rsidRDefault="004F3A7C" w:rsidP="00595777">
      <w:pPr>
        <w:spacing w:line="480" w:lineRule="auto"/>
        <w:ind w:firstLine="720"/>
        <w:jc w:val="both"/>
      </w:pPr>
      <w:r w:rsidRPr="00222E24">
        <w:t xml:space="preserve">After the successful </w:t>
      </w:r>
      <w:r>
        <w:t xml:space="preserve">post-flight </w:t>
      </w:r>
      <w:r w:rsidRPr="00222E24">
        <w:t>recovery</w:t>
      </w:r>
      <w:r>
        <w:t>,</w:t>
      </w:r>
      <w:r w:rsidRPr="00222E24">
        <w:t xml:space="preserve"> ALI</w:t>
      </w:r>
      <w:r>
        <w:t xml:space="preserve"> was unpacked and check for any damages in Saskatoon, SK on September 25, 2014.</w:t>
      </w:r>
      <w:r w:rsidRPr="00222E24">
        <w:t xml:space="preserve"> </w:t>
      </w:r>
      <w:r>
        <w:t xml:space="preserve">No obvious damage had occurred to ALI from the flight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4F3A7C" w:rsidRDefault="004F3A7C" w:rsidP="00595777">
      <w:pPr>
        <w:spacing w:line="480" w:lineRule="auto"/>
        <w:ind w:firstLine="720"/>
        <w:jc w:val="both"/>
      </w:pPr>
      <w:r>
        <w:t xml:space="preserve">The images needed to have complete pointing information added since the raw images only had position and altitude information from the onboard GPS. The azimuth and zenith directional information needed to be added to the images as they are needed to determine the line of sight of each pixel on the CCD. The CNES team supplied the Solar Azimuth Angle (SAA) information from the flight and was correlated to the images using GPS time. However, no information was supplied about the zenith direction of the gondola, we were just notified that the gondola was zenithally stable throughout the majority of the flight. So some manual calibration of the zenith angle occurred. ALI was tilted at </w:t>
      </w:r>
      <w:r w:rsidRPr="00C922A2">
        <w:t>3</w:t>
      </w:r>
      <w:r>
        <w:rPr>
          <w:vertAlign w:val="superscript"/>
        </w:rPr>
        <w:t>o</w:t>
      </w:r>
      <w:r>
        <w:t xml:space="preserve"> so 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aligned. The zenith angle with the optimal alignment was determined to be 92.6</w:t>
      </w:r>
      <w:r>
        <w:rPr>
          <w:vertAlign w:val="superscript"/>
        </w:rPr>
        <w:t>o</w:t>
      </w:r>
      <w:r>
        <w:t xml:space="preserve"> with an uncertainty of 0.1</w:t>
      </w:r>
      <w:r>
        <w:rPr>
          <w:vertAlign w:val="superscript"/>
        </w:rPr>
        <w:t>o</w:t>
      </w:r>
      <w:r>
        <w:t xml:space="preserve">. </w:t>
      </w:r>
    </w:p>
    <w:p w:rsidR="004F3A7C" w:rsidRDefault="004F3A7C"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 image number 208 is used to demonstrate the steps in the calibration on a flight image. Image 208 is recorded with a wavelength of </w:t>
      </w:r>
      <w:r w:rsidRPr="00222E24">
        <w:t>750</w:t>
      </w:r>
      <w:r>
        <w:t> </w:t>
      </w:r>
      <w:r w:rsidRPr="00222E24">
        <w:t xml:space="preserve">nm </w:t>
      </w:r>
      <w:r>
        <w:t xml:space="preserve">and </w:t>
      </w:r>
      <w:r w:rsidRPr="00222E24">
        <w:t xml:space="preserve">taken at 13:57 UTC with a </w:t>
      </w:r>
      <w:r>
        <w:t>ZSA</w:t>
      </w:r>
      <w:r w:rsidRPr="00222E24">
        <w:t xml:space="preserve"> and </w:t>
      </w:r>
      <w:r>
        <w:t>SSA</w:t>
      </w:r>
      <w:r w:rsidRPr="00222E24">
        <w:t xml:space="preserve"> of 63</w:t>
      </w:r>
      <w:r>
        <w:rPr>
          <w:vertAlign w:val="superscript"/>
        </w:rPr>
        <w:t>o</w:t>
      </w:r>
      <w:r w:rsidRPr="00222E24">
        <w:t xml:space="preserve"> and 98</w:t>
      </w:r>
      <w:r>
        <w:rPr>
          <w:vertAlign w:val="superscript"/>
        </w:rPr>
        <w:t>o</w:t>
      </w:r>
      <w:r w:rsidRPr="00222E24">
        <w:t xml:space="preserve"> respectively.</w:t>
      </w:r>
      <w:r>
        <w:t xml:space="preserve"> The dark current and DC offset have been removed from image 208 using the Equation 3.42. Next,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CC09BC">
        <w:t>Figure 5-</w:t>
      </w:r>
      <w:r w:rsidRPr="00CC09BC">
        <w:rPr>
          <w:noProof/>
        </w:rPr>
        <w:t>5</w:t>
      </w:r>
      <w:r w:rsidRPr="00CC09BC">
        <w:fldChar w:fldCharType="end"/>
      </w:r>
      <w:r>
        <w:t xml:space="preserve">. In the first panel, abnormal bright spots are noticed in the right side and the top right of the measurement. These same features are noticed in the stray light image. By subtracting the AOTF-off image from the measurement image,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a. Remember that no absolute calibration was performed on ALI, so the radiance are relative radiance in arbitrary units to the 775 nm laboratory calibration. </w:t>
      </w:r>
      <w:r>
        <w:rPr>
          <w:lang w:val="en-CA"/>
        </w:rPr>
        <w:t xml:space="preserve">The error, </w:t>
      </w:r>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4F3A7C" w:rsidTr="00ED6DE1">
        <w:tc>
          <w:tcPr>
            <w:tcW w:w="6804" w:type="dxa"/>
            <w:tcBorders>
              <w:top w:val="nil"/>
              <w:left w:val="nil"/>
              <w:bottom w:val="nil"/>
              <w:right w:val="nil"/>
            </w:tcBorders>
          </w:tcPr>
          <w:p w:rsidR="004F3A7C" w:rsidRPr="00C40C6B" w:rsidRDefault="004F3A7C" w:rsidP="00627E31">
            <w:pPr>
              <w:pStyle w:val="BodyText"/>
              <w:ind w:firstLine="289"/>
              <w:jc w:val="right"/>
            </w:pPr>
            <m:oMathPara>
              <m:oMath>
                <m:sSup>
                  <m:sSupPr>
                    <m:ctrlPr>
                      <w:rPr>
                        <w:rFonts w:ascii="Cambria Math" w:hAnsi="Cambria Math"/>
                        <w:i/>
                        <w:lang w:val="en-CA"/>
                      </w:rPr>
                    </m:ctrlPr>
                  </m:sSupPr>
                  <m:e>
                    <m:r>
                      <w:rPr>
                        <w:rFonts w:ascii="Cambria Math" w:hAnsi="Cambria Math"/>
                        <w:lang w:val="en-CA"/>
                      </w:rPr>
                      <m:t>ϵ</m:t>
                    </m:r>
                  </m:e>
                  <m:sup>
                    <m:r>
                      <w:rPr>
                        <w:rFonts w:ascii="Cambria Math" w:hAnsi="Cambria Math"/>
                        <w:lang w:val="en-CA"/>
                      </w:rPr>
                      <m:t>2</m:t>
                    </m:r>
                  </m:sup>
                </m:s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read</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DC</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dark</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stray</m:t>
                    </m:r>
                  </m:sub>
                  <m:sup>
                    <m:r>
                      <w:rPr>
                        <w:rFonts w:ascii="Cambria Math" w:hAnsi="Cambria Math"/>
                        <w:lang w:val="en-CA"/>
                      </w:rPr>
                      <m:t>2</m:t>
                    </m:r>
                  </m:sup>
                </m:sSubSup>
                <m:r>
                  <w:rPr>
                    <w:rFonts w:ascii="Cambria Math" w:hAnsi="Cambria Math"/>
                    <w:lang w:val="en-CA"/>
                  </w:rPr>
                  <m:t>+</m:t>
                </m:r>
                <m:sSubSup>
                  <m:sSubSupPr>
                    <m:ctrlPr>
                      <w:rPr>
                        <w:rFonts w:ascii="Cambria Math" w:hAnsi="Cambria Math"/>
                        <w:i/>
                        <w:lang w:val="en-CA"/>
                      </w:rPr>
                    </m:ctrlPr>
                  </m:sSubSupPr>
                  <m:e>
                    <m:r>
                      <w:rPr>
                        <w:rFonts w:ascii="Cambria Math" w:hAnsi="Cambria Math"/>
                        <w:lang w:val="en-CA"/>
                      </w:rPr>
                      <m:t>ϵ</m:t>
                    </m:r>
                  </m:e>
                  <m:sub>
                    <m:r>
                      <w:rPr>
                        <w:rFonts w:ascii="Cambria Math" w:hAnsi="Cambria Math"/>
                        <w:lang w:val="en-CA"/>
                      </w:rPr>
                      <m:t>ff</m:t>
                    </m:r>
                  </m:sub>
                  <m:sup>
                    <m:r>
                      <w:rPr>
                        <w:rFonts w:ascii="Cambria Math" w:hAnsi="Cambria Math"/>
                        <w:lang w:val="en-CA"/>
                      </w:rPr>
                      <m:t>2</m:t>
                    </m:r>
                  </m:sup>
                </m:sSubSup>
                <m:r>
                  <w:rPr>
                    <w:rFonts w:ascii="Cambria Math" w:hAnsi="Cambria Math"/>
                  </w:rPr>
                  <m:t>,</m:t>
                </m:r>
              </m:oMath>
            </m:oMathPara>
          </w:p>
        </w:tc>
        <w:tc>
          <w:tcPr>
            <w:tcW w:w="1246" w:type="dxa"/>
            <w:tcBorders>
              <w:top w:val="nil"/>
              <w:left w:val="nil"/>
              <w:bottom w:val="nil"/>
              <w:right w:val="nil"/>
            </w:tcBorders>
            <w:vAlign w:val="center"/>
          </w:tcPr>
          <w:p w:rsidR="004F3A7C" w:rsidRDefault="004F3A7C" w:rsidP="0028482A">
            <w:pPr>
              <w:pStyle w:val="BodyText"/>
              <w:ind w:firstLine="0"/>
              <w:jc w:val="right"/>
            </w:pPr>
            <w:r>
              <w:t>(5.2)</w:t>
            </w:r>
          </w:p>
        </w:tc>
      </w:tr>
    </w:tbl>
    <w:p w:rsidR="004F3A7C" w:rsidRPr="0028482A" w:rsidRDefault="004F3A7C" w:rsidP="0028482A">
      <w:pPr>
        <w:pStyle w:val="BodyText"/>
        <w:ind w:firstLine="0"/>
        <w:jc w:val="both"/>
        <w:rPr>
          <w:lang w:val="en-CA"/>
        </w:rPr>
      </w:pPr>
      <w:r>
        <w:rPr>
          <w:lang w:val="en-CA"/>
        </w:rPr>
        <w:t xml:space="preserve">where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4F3A7C" w:rsidRDefault="004F3A7C" w:rsidP="00CC09BC">
      <w:pPr>
        <w:pStyle w:val="BodyText"/>
        <w:keepNext/>
        <w:ind w:firstLine="0"/>
        <w:jc w:val="center"/>
      </w:pPr>
      <w:r>
        <w:rPr>
          <w:noProof/>
          <w:lang w:val="en-CA" w:eastAsia="en-CA"/>
        </w:rPr>
        <w:drawing>
          <wp:inline distT="0" distB="0" distL="0" distR="0" wp14:anchorId="4AE65784" wp14:editId="01B845F0">
            <wp:extent cx="3319385" cy="58102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4F3A7C" w:rsidRPr="001A3348" w:rsidRDefault="004F3A7C" w:rsidP="001A3348">
      <w:pPr>
        <w:pStyle w:val="Caption"/>
        <w:jc w:val="center"/>
      </w:pPr>
      <w:bookmarkStart w:id="20" w:name="_Ref434856870"/>
      <w:bookmarkStart w:id="21" w:name="_Toc439680463"/>
      <w:r w:rsidRPr="001A3348">
        <w:rPr>
          <w:b/>
        </w:rPr>
        <w:t>Figure 5-</w:t>
      </w:r>
      <w:r w:rsidRPr="001A3348">
        <w:rPr>
          <w:b/>
        </w:rPr>
        <w:fldChar w:fldCharType="begin"/>
      </w:r>
      <w:r w:rsidRPr="001A3348">
        <w:rPr>
          <w:b/>
        </w:rPr>
        <w:instrText xml:space="preserve"> SEQ Figure \* ARABIC </w:instrText>
      </w:r>
      <w:r w:rsidRPr="001A3348">
        <w:rPr>
          <w:b/>
        </w:rPr>
        <w:fldChar w:fldCharType="separate"/>
      </w:r>
      <w:r>
        <w:rPr>
          <w:b/>
          <w:noProof/>
        </w:rPr>
        <w:t>5</w:t>
      </w:r>
      <w:r w:rsidRPr="001A3348">
        <w:rPr>
          <w:b/>
        </w:rPr>
        <w:fldChar w:fldCharType="end"/>
      </w:r>
      <w:bookmarkEnd w:id="20"/>
      <w:r>
        <w:rPr>
          <w:b/>
        </w:rPr>
        <w:t>:</w:t>
      </w:r>
      <w:r>
        <w:t xml:space="preserve"> Stray light removal technique is performed using image 208 which is a 750 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4F3A7C" w:rsidRDefault="004F3A7C" w:rsidP="00CC09BC">
      <w:pPr>
        <w:pStyle w:val="BodyText"/>
        <w:keepNext/>
        <w:ind w:firstLine="0"/>
        <w:jc w:val="center"/>
      </w:pPr>
      <w:r>
        <w:rPr>
          <w:noProof/>
          <w:lang w:val="en-CA" w:eastAsia="en-CA"/>
        </w:rPr>
        <w:drawing>
          <wp:inline distT="0" distB="0" distL="0" distR="0" wp14:anchorId="155FB9A5" wp14:editId="14619DED">
            <wp:extent cx="3618728" cy="4962525"/>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4F3A7C" w:rsidRPr="00CC09BC" w:rsidRDefault="004F3A7C" w:rsidP="00CC09BC">
      <w:pPr>
        <w:pStyle w:val="Caption"/>
        <w:jc w:val="center"/>
      </w:pPr>
      <w:bookmarkStart w:id="22" w:name="_Ref434857421"/>
      <w:bookmarkStart w:id="23" w:name="_Toc439680464"/>
      <w:r w:rsidRPr="00CC09BC">
        <w:rPr>
          <w:b/>
        </w:rPr>
        <w:t>Figure 5-</w:t>
      </w:r>
      <w:r w:rsidRPr="00CC09BC">
        <w:rPr>
          <w:b/>
        </w:rPr>
        <w:fldChar w:fldCharType="begin"/>
      </w:r>
      <w:r w:rsidRPr="00CC09BC">
        <w:rPr>
          <w:b/>
        </w:rPr>
        <w:instrText xml:space="preserve"> SEQ Figure \* ARABIC </w:instrText>
      </w:r>
      <w:r w:rsidRPr="00CC09BC">
        <w:rPr>
          <w:b/>
        </w:rPr>
        <w:fldChar w:fldCharType="separate"/>
      </w:r>
      <w:r>
        <w:rPr>
          <w:b/>
          <w:noProof/>
        </w:rPr>
        <w:t>6</w:t>
      </w:r>
      <w:r w:rsidRPr="00CC09BC">
        <w:rPr>
          <w:b/>
        </w:rPr>
        <w:fldChar w:fldCharType="end"/>
      </w:r>
      <w:bookmarkEnd w:id="22"/>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 xml:space="preserve">W with a </w:t>
      </w:r>
      <w:r>
        <w:t>SZA</w:t>
      </w:r>
      <w:r w:rsidRPr="00CC09BC">
        <w:t xml:space="preserve"> and </w:t>
      </w:r>
      <w:r>
        <w:t>SSA</w:t>
      </w:r>
      <w:r w:rsidRPr="00CC09BC">
        <w:t xml:space="preserv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3"/>
    </w:p>
    <w:p w:rsidR="004F3A7C" w:rsidRDefault="004F3A7C" w:rsidP="00395867">
      <w:pPr>
        <w:pStyle w:val="BodyText"/>
      </w:pPr>
    </w:p>
    <w:p w:rsidR="004F3A7C" w:rsidRDefault="004F3A7C"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Solheim, private communication, 2014).  A brief check on the CALIPSO quick-look plots also shows 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4F3A7C" w:rsidRDefault="004F3A7C" w:rsidP="0028482A">
      <w:pPr>
        <w:pStyle w:val="BodyText"/>
        <w:jc w:val="both"/>
      </w:pPr>
      <w:r>
        <w:t>For ease of further analysis, and t</w:t>
      </w:r>
      <w:r w:rsidRPr="00222E24">
        <w:t>o increase the precision of the measurements to a minimum of 0.</w:t>
      </w:r>
      <w:r>
        <w:t>6 </w:t>
      </w:r>
      <w:r w:rsidRPr="00222E24">
        <w:t>MTF</w:t>
      </w:r>
      <w:r>
        <w:t>,</w:t>
      </w:r>
      <w:r w:rsidRPr="00222E24">
        <w:t xml:space="preserve">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averaged </w:t>
      </w:r>
      <w:r w:rsidRPr="00222E24">
        <w:t>vertical</w:t>
      </w:r>
      <w:r>
        <w:t>ly</w:t>
      </w:r>
      <w:r w:rsidRPr="00222E24">
        <w:t xml:space="preserve"> </w:t>
      </w:r>
      <w:r>
        <w:t>onto a</w:t>
      </w:r>
      <w:r w:rsidRPr="00222E24">
        <w:t xml:space="preserve"> 1</w:t>
      </w:r>
      <w:r>
        <w:t> km tangent altitude grid.</w:t>
      </w:r>
      <w:r w:rsidRPr="00222E24">
        <w:t xml:space="preserve"> </w:t>
      </w:r>
      <w:r>
        <w:t xml:space="preserve">The errors for the averaged radiances, </w:t>
      </w:r>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4F3A7C" w:rsidTr="00ED6DE1">
        <w:tc>
          <w:tcPr>
            <w:tcW w:w="6804" w:type="dxa"/>
            <w:tcBorders>
              <w:top w:val="nil"/>
              <w:left w:val="nil"/>
              <w:bottom w:val="nil"/>
              <w:right w:val="nil"/>
            </w:tcBorders>
          </w:tcPr>
          <w:p w:rsidR="004F3A7C" w:rsidRPr="00C40C6B" w:rsidRDefault="004F3A7C"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4F3A7C" w:rsidRDefault="004F3A7C" w:rsidP="00BA0898">
            <w:pPr>
              <w:pStyle w:val="BodyText"/>
              <w:ind w:firstLine="0"/>
              <w:jc w:val="right"/>
            </w:pPr>
            <w:r>
              <w:t>(5.3)</w:t>
            </w:r>
          </w:p>
        </w:tc>
      </w:tr>
    </w:tbl>
    <w:p w:rsidR="004F3A7C" w:rsidRDefault="004F3A7C"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A0898">
        <w:t>Figure 5-</w:t>
      </w:r>
      <w:r w:rsidRPr="00BA0898">
        <w:rPr>
          <w:noProof/>
        </w:rPr>
        <w:t>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Measurements obtained for SZAs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xml:space="preserve">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4F3A7C" w:rsidRDefault="004F3A7C" w:rsidP="007A4E1D">
      <w:pPr>
        <w:pStyle w:val="BodyText"/>
        <w:keepNext/>
        <w:ind w:firstLine="0"/>
        <w:jc w:val="center"/>
      </w:pPr>
      <w:r>
        <w:rPr>
          <w:noProof/>
          <w:lang w:val="en-CA" w:eastAsia="en-CA"/>
        </w:rPr>
        <w:drawing>
          <wp:inline distT="0" distB="0" distL="0" distR="0" wp14:anchorId="7FF4534D" wp14:editId="5B2CB8BE">
            <wp:extent cx="5943600" cy="46075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4F3A7C" w:rsidRDefault="004F3A7C" w:rsidP="007A4E1D">
      <w:pPr>
        <w:pStyle w:val="Caption"/>
        <w:jc w:val="center"/>
      </w:pPr>
      <w:bookmarkStart w:id="24" w:name="_Ref434859826"/>
      <w:bookmarkStart w:id="25" w:name="_Toc439680465"/>
      <w:r w:rsidRPr="007A4E1D">
        <w:rPr>
          <w:b/>
        </w:rPr>
        <w:t>Figure 5-</w:t>
      </w:r>
      <w:r w:rsidRPr="007A4E1D">
        <w:rPr>
          <w:b/>
        </w:rPr>
        <w:fldChar w:fldCharType="begin"/>
      </w:r>
      <w:r w:rsidRPr="007A4E1D">
        <w:rPr>
          <w:b/>
        </w:rPr>
        <w:instrText xml:space="preserve"> SEQ Figure \* ARABIC </w:instrText>
      </w:r>
      <w:r w:rsidRPr="007A4E1D">
        <w:rPr>
          <w:b/>
        </w:rPr>
        <w:fldChar w:fldCharType="separate"/>
      </w:r>
      <w:r>
        <w:rPr>
          <w:b/>
          <w:noProof/>
        </w:rPr>
        <w:t>7</w:t>
      </w:r>
      <w:r w:rsidRPr="007A4E1D">
        <w:rPr>
          <w:b/>
        </w:rPr>
        <w:fldChar w:fldCharType="end"/>
      </w:r>
      <w:bookmarkEnd w:id="24"/>
      <w:r>
        <w:rPr>
          <w:b/>
        </w:rPr>
        <w:t xml:space="preserve">: </w:t>
      </w:r>
      <w:r w:rsidRPr="000E75D4">
        <w:t>Averaged ALI relative radiance vectors from 12 of the 13 wavelengths from the N</w:t>
      </w:r>
      <w:r>
        <w:t xml:space="preserve">imbus </w:t>
      </w:r>
      <w:r w:rsidRPr="000E75D4">
        <w:t xml:space="preserve">7 flight. Each panel presents the radiance vectors from a different wavelength measured which is denoted in the top right corner. The dashed lines are radiance profiles where the </w:t>
      </w:r>
      <w:r>
        <w:t>SZA</w:t>
      </w:r>
      <w:r w:rsidRPr="000E75D4">
        <w:t xml:space="preserve"> is greater than 90</w:t>
      </w:r>
      <w:r w:rsidRPr="000E75D4">
        <w:rPr>
          <w:vertAlign w:val="superscript"/>
        </w:rPr>
        <w:t>o</w:t>
      </w:r>
      <w:r w:rsidRPr="000E75D4">
        <w:t xml:space="preserve"> and solid lines are profile where the </w:t>
      </w:r>
      <w:r>
        <w:t>SZA</w:t>
      </w:r>
      <w:r w:rsidRPr="000E75D4">
        <w:t xml:space="preserve"> is less than 90</w:t>
      </w:r>
      <w:r w:rsidRPr="000E75D4">
        <w:rPr>
          <w:vertAlign w:val="superscript"/>
        </w:rPr>
        <w:t>o</w:t>
      </w:r>
      <w:r w:rsidRPr="000E75D4">
        <w:t>.</w:t>
      </w:r>
      <w:bookmarkEnd w:id="25"/>
    </w:p>
    <w:p w:rsidR="004F3A7C" w:rsidRPr="000E4898" w:rsidRDefault="004F3A7C" w:rsidP="000E4898"/>
    <w:p w:rsidR="004F3A7C" w:rsidRDefault="004F3A7C"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A0898">
        <w:t>Figure 5-</w:t>
      </w:r>
      <w:r w:rsidRPr="00BA0898">
        <w:rPr>
          <w:noProof/>
        </w:rPr>
        <w:t>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and was calculated using Equations 5.2 and 5.3</w:t>
      </w:r>
      <w:r w:rsidRPr="00222E24">
        <w:t xml:space="preserve">. </w:t>
      </w:r>
      <w:r w:rsidRPr="0089304F">
        <w:t xml:space="preserve">The </w:t>
      </w:r>
      <w:r>
        <w:t>uncertainty</w:t>
      </w:r>
      <w:r w:rsidRPr="0089304F">
        <w:t xml:space="preserve"> is</w:t>
      </w:r>
      <w:r w:rsidRPr="002C7739">
        <w:t xml:space="preserve"> </w:t>
      </w:r>
      <w:r>
        <w:t>approximately five percent from 5 to 20 </w:t>
      </w:r>
      <w:r w:rsidRPr="002C7739">
        <w:t xml:space="preserve">km and </w:t>
      </w:r>
      <w:r>
        <w:t>increases</w:t>
      </w:r>
      <w:r w:rsidRPr="002C7739">
        <w:t xml:space="preserve"> </w:t>
      </w:r>
      <w:r>
        <w:t xml:space="preserve">up </w:t>
      </w:r>
      <w:r w:rsidRPr="005F6F1B">
        <w:t>to eight</w:t>
      </w:r>
      <w:r w:rsidRPr="002C7739">
        <w:t xml:space="preserve"> percent from </w:t>
      </w:r>
      <w:r>
        <w:t>20 to</w:t>
      </w:r>
      <w:r w:rsidRPr="005F6F1B">
        <w:t xml:space="preserve"> 35</w:t>
      </w:r>
      <w:r>
        <w:t> </w:t>
      </w:r>
      <w:r w:rsidRPr="002C7739">
        <w:t>km</w:t>
      </w:r>
      <w:r>
        <w:t xml:space="preserve">. </w:t>
      </w:r>
      <w:r w:rsidRPr="002C7739">
        <w:t xml:space="preserve"> </w:t>
      </w:r>
      <w:r>
        <w:t>The spectra displays the expected and relatively smooth fall off in intensity with increasing wavelength with Chappuis ozone absorption seen at the lower wavelengths; however, the reason for the peak in the spectra at 875 nm is not known and may be due to an inconsistency in the pre-flight calibration.</w:t>
      </w:r>
    </w:p>
    <w:p w:rsidR="004F3A7C" w:rsidRDefault="004F3A7C" w:rsidP="00F91C97">
      <w:pPr>
        <w:pStyle w:val="BodyText"/>
        <w:keepNext/>
        <w:ind w:firstLine="0"/>
        <w:jc w:val="center"/>
      </w:pPr>
      <w:r>
        <w:rPr>
          <w:noProof/>
          <w:lang w:val="en-CA" w:eastAsia="en-CA"/>
        </w:rPr>
        <w:drawing>
          <wp:inline distT="0" distB="0" distL="0" distR="0" wp14:anchorId="5DB82FF5" wp14:editId="7E14A929">
            <wp:extent cx="3254782" cy="317182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4F3A7C" w:rsidRDefault="004F3A7C" w:rsidP="00F91C97">
      <w:pPr>
        <w:pStyle w:val="Caption"/>
        <w:jc w:val="center"/>
      </w:pPr>
      <w:bookmarkStart w:id="26" w:name="_Ref434859797"/>
      <w:bookmarkStart w:id="27" w:name="_Toc439680466"/>
      <w:r w:rsidRPr="00BA0898">
        <w:rPr>
          <w:b/>
        </w:rPr>
        <w:t>Figure 5-</w:t>
      </w:r>
      <w:r w:rsidRPr="00BA0898">
        <w:rPr>
          <w:b/>
        </w:rPr>
        <w:fldChar w:fldCharType="begin"/>
      </w:r>
      <w:r w:rsidRPr="00BA0898">
        <w:rPr>
          <w:b/>
        </w:rPr>
        <w:instrText xml:space="preserve"> SEQ Figure \* ARABIC </w:instrText>
      </w:r>
      <w:r w:rsidRPr="00BA0898">
        <w:rPr>
          <w:b/>
        </w:rPr>
        <w:fldChar w:fldCharType="separate"/>
      </w:r>
      <w:r>
        <w:rPr>
          <w:b/>
          <w:noProof/>
        </w:rPr>
        <w:t>8</w:t>
      </w:r>
      <w:r w:rsidRPr="00BA0898">
        <w:rPr>
          <w:b/>
        </w:rPr>
        <w:fldChar w:fldCharType="end"/>
      </w:r>
      <w:bookmarkEnd w:id="2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7"/>
    </w:p>
    <w:p w:rsidR="004F3A7C" w:rsidRDefault="004F3A7C" w:rsidP="00F91C97">
      <w:pPr>
        <w:pStyle w:val="BodyText"/>
        <w:ind w:firstLine="0"/>
      </w:pPr>
    </w:p>
    <w:p w:rsidR="004F3A7C" w:rsidRDefault="004F3A7C" w:rsidP="00961690">
      <w:pPr>
        <w:pStyle w:val="Heading1"/>
      </w:pPr>
      <w:bookmarkStart w:id="28" w:name="_Toc439680336"/>
      <w:r>
        <w:t>5.3 Aerosol Retrievals</w:t>
      </w:r>
      <w:bookmarkEnd w:id="28"/>
    </w:p>
    <w:p w:rsidR="004F3A7C" w:rsidRDefault="004F3A7C" w:rsidP="000A4134">
      <w:pPr>
        <w:pStyle w:val="BodyText"/>
        <w:jc w:val="both"/>
      </w:pPr>
      <w:r>
        <w:t xml:space="preserve">From the </w:t>
      </w:r>
      <w:r w:rsidRPr="00375F45">
        <w:t>successful mission</w:t>
      </w:r>
      <w:r>
        <w:t>,</w:t>
      </w:r>
      <w:r w:rsidRPr="00375F45">
        <w:t xml:space="preserve"> </w:t>
      </w:r>
      <w:r>
        <w:t>radiance measurements</w:t>
      </w:r>
      <w:r w:rsidRPr="00375F45">
        <w:t xml:space="preserve"> from ALI need</w:t>
      </w:r>
      <w:r>
        <w:t>ed</w:t>
      </w:r>
      <w:r w:rsidRPr="00375F45">
        <w:t xml:space="preserve"> to be used to determine aerosol parameters. The following sections will describe the MART retrieval method used</w:t>
      </w:r>
      <w:r>
        <w:t xml:space="preserve"> to determine aerosol. The retrieved aerosol profile</w:t>
      </w:r>
      <w:r w:rsidRPr="00375F45">
        <w:t xml:space="preserve"> from </w:t>
      </w:r>
      <w:r>
        <w:t xml:space="preserve">ALI </w:t>
      </w:r>
      <w:r w:rsidRPr="00375F45">
        <w:t xml:space="preserve">using the MART method </w:t>
      </w:r>
      <w:r>
        <w:t>will be presented</w:t>
      </w:r>
      <w:r w:rsidRPr="00375F45">
        <w:t xml:space="preserve"> and </w:t>
      </w:r>
      <w:r>
        <w:t>will be compared</w:t>
      </w:r>
      <w:r w:rsidRPr="00375F45">
        <w:t xml:space="preserve"> to the OSIRIS version 5.07 aerosol</w:t>
      </w:r>
      <w:r>
        <w:t xml:space="preserve"> extinction</w:t>
      </w:r>
      <w:r w:rsidRPr="00375F45">
        <w:t xml:space="preserve"> product.</w:t>
      </w:r>
      <w:r>
        <w:t xml:space="preserve"> Following, a cycle of aerosol measurements will be used to determine a particle size distribution estimate and will be contrasted with particle size parameters from other instruments. </w:t>
      </w:r>
    </w:p>
    <w:p w:rsidR="004F3A7C" w:rsidRDefault="004F3A7C" w:rsidP="00395867">
      <w:pPr>
        <w:pStyle w:val="Heading2"/>
      </w:pPr>
      <w:bookmarkStart w:id="29" w:name="_Toc439680337"/>
      <w:r>
        <w:t>5.3.1 Aerosol Extinction Retrieval Methodology</w:t>
      </w:r>
      <w:bookmarkEnd w:id="29"/>
    </w:p>
    <w:p w:rsidR="004F3A7C" w:rsidRDefault="004F3A7C" w:rsidP="001D1577">
      <w:pPr>
        <w:pStyle w:val="BodyText"/>
        <w:jc w:val="both"/>
      </w:pPr>
      <w:r>
        <w:t xml:space="preserve">A measurement inversion technique is a method used on a measured value can be converted into a wanted usable physical quantity via an iterative method. A measurement vector, </w:t>
      </w:r>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physical 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4F3A7C" w:rsidTr="00305B19">
        <w:tc>
          <w:tcPr>
            <w:tcW w:w="6804" w:type="dxa"/>
            <w:tcBorders>
              <w:top w:val="nil"/>
              <w:left w:val="nil"/>
              <w:bottom w:val="nil"/>
              <w:right w:val="nil"/>
            </w:tcBorders>
          </w:tcPr>
          <w:p w:rsidR="004F3A7C" w:rsidRPr="00C40C6B" w:rsidRDefault="004F3A7C"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4F3A7C" w:rsidRDefault="004F3A7C" w:rsidP="00305B19">
            <w:pPr>
              <w:pStyle w:val="BodyText"/>
              <w:ind w:firstLine="0"/>
              <w:jc w:val="right"/>
            </w:pPr>
            <w:r>
              <w:t>(5.4)</w:t>
            </w:r>
          </w:p>
        </w:tc>
      </w:tr>
    </w:tbl>
    <w:p w:rsidR="004F3A7C" w:rsidRDefault="004F3A7C" w:rsidP="001D1577">
      <w:pPr>
        <w:pStyle w:val="BodyText"/>
        <w:ind w:firstLine="0"/>
      </w:pPr>
      <w:r>
        <w:t xml:space="preserve">where </w:t>
      </w:r>
      <m:oMath>
        <m:r>
          <m:rPr>
            <m:sty m:val="bi"/>
          </m:rPr>
          <w:rPr>
            <w:rFonts w:ascii="Cambria Math" w:hAnsi="Cambria Math"/>
          </w:rPr>
          <m:t>ϵ</m:t>
        </m:r>
      </m:oMath>
      <w:r>
        <w:t xml:space="preserve"> is the noise on the measurement vector.</w:t>
      </w:r>
    </w:p>
    <w:p w:rsidR="004F3A7C" w:rsidRDefault="004F3A7C" w:rsidP="006F26BE">
      <w:pPr>
        <w:pStyle w:val="BodyText"/>
        <w:jc w:val="both"/>
      </w:pPr>
      <w:r>
        <w:t>The inversion of the ALI radiances used a Multiplicative Algebraic Reconstruction Technique (MART), specifically we have applied a slightly modified version of the standard OSIRIS stratospheric aerosol extinction retrieval (</w:t>
      </w:r>
      <w:r w:rsidRPr="00630AA1">
        <w:rPr>
          <w:i/>
        </w:rPr>
        <w:t>Bourassa et al.</w:t>
      </w:r>
      <w:r>
        <w:t>, 2007; 2012b). This inversion algorithm, which is applied from the tropopause to 30 km altitude, assumes log-normal distributed hydrated sulphuric acid droplets (see Equation 2.1) in order to calculate the aerosol scattering cross section from the Mie scattering solution.  The modeled radiances for the nonlinear inversion were computed with the SASKTRAN-HR radiative transfer engine using the newly developed vector module for polarization (</w:t>
      </w:r>
      <w:r w:rsidRPr="00630AA1">
        <w:rPr>
          <w:i/>
        </w:rPr>
        <w:t>Bourassa et al.</w:t>
      </w:r>
      <w:r>
        <w:t xml:space="preserve">, 2008; </w:t>
      </w:r>
      <w:r w:rsidRPr="00630AA1">
        <w:rPr>
          <w:i/>
        </w:rPr>
        <w:t>Zawada et al.</w:t>
      </w:r>
      <w:r>
        <w:t xml:space="preserve">, 2015; </w:t>
      </w:r>
      <w:r w:rsidRPr="00630AA1">
        <w:rPr>
          <w:i/>
        </w:rPr>
        <w:t>Dueck et al.</w:t>
      </w:r>
      <w:r>
        <w:t>, 2015). The output of SASKTRAN-HR gives the Stokes vectors for the radiance in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4F3A7C" w:rsidTr="00305B19">
        <w:tc>
          <w:tcPr>
            <w:tcW w:w="6804" w:type="dxa"/>
            <w:tcBorders>
              <w:top w:val="nil"/>
              <w:left w:val="nil"/>
              <w:bottom w:val="nil"/>
              <w:right w:val="nil"/>
            </w:tcBorders>
          </w:tcPr>
          <w:p w:rsidR="004F3A7C" w:rsidRPr="00C40C6B" w:rsidRDefault="004F3A7C"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4F3A7C" w:rsidRDefault="004F3A7C" w:rsidP="00EF6254">
            <w:pPr>
              <w:pStyle w:val="BodyText"/>
              <w:ind w:firstLine="0"/>
              <w:jc w:val="right"/>
            </w:pPr>
            <w:r>
              <w:t>(5.5)</w:t>
            </w:r>
          </w:p>
        </w:tc>
      </w:tr>
    </w:tbl>
    <w:p w:rsidR="004F3A7C" w:rsidRDefault="004F3A7C" w:rsidP="00EF6254">
      <w:pPr>
        <w:pStyle w:val="BodyText"/>
        <w:ind w:firstLine="0"/>
        <w:jc w:val="both"/>
      </w:pPr>
      <w:r>
        <w:t xml:space="preserve">where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4F3A7C" w:rsidRDefault="004F3A7C" w:rsidP="00AB2010">
      <w:pPr>
        <w:spacing w:line="480" w:lineRule="auto"/>
        <w:ind w:firstLine="720"/>
        <w:jc w:val="both"/>
      </w:pPr>
      <w:r w:rsidRPr="00222E24">
        <w:t>The relative radiance</w:t>
      </w:r>
      <w:r>
        <w:t xml:space="preserve"> measurements</w:t>
      </w:r>
      <w:r w:rsidRPr="00222E24">
        <w:t xml:space="preserve"> from ALI are used to create measurement vectors,</w:t>
      </w:r>
      <w:r>
        <w:t xml:space="preserve"> </w:t>
      </w:r>
      <m:oMath>
        <m:r>
          <m:rPr>
            <m:sty m:val="bi"/>
          </m:rPr>
          <w:rPr>
            <w:rFonts w:ascii="Cambria Math" w:hAnsi="Cambria Math"/>
          </w:rPr>
          <m:t>y</m:t>
        </m:r>
      </m:oMath>
      <w:r w:rsidRPr="00222E24">
        <w:t xml:space="preserve">, </w:t>
      </w:r>
      <w:r>
        <w:t xml:space="preserve">as specified in </w:t>
      </w:r>
      <w:r w:rsidRPr="00630AA1">
        <w:rPr>
          <w:i/>
        </w:rPr>
        <w:t>Bourassa et al.</w:t>
      </w:r>
      <w:r>
        <w:t xml:space="preserve"> (2012b)</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4F3A7C" w:rsidTr="00305B19">
        <w:tc>
          <w:tcPr>
            <w:tcW w:w="6804" w:type="dxa"/>
            <w:tcBorders>
              <w:top w:val="nil"/>
              <w:left w:val="nil"/>
              <w:bottom w:val="nil"/>
              <w:right w:val="nil"/>
            </w:tcBorders>
          </w:tcPr>
          <w:p w:rsidR="004F3A7C" w:rsidRPr="00C40C6B" w:rsidRDefault="004F3A7C"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r>
                      <w:rPr>
                        <w:rFonts w:ascii="Cambria Math" w:hAnsi="Cambria Math"/>
                      </w:rPr>
                      <m:t>,</m:t>
                    </m:r>
                  </m:e>
                </m:func>
              </m:oMath>
            </m:oMathPara>
          </w:p>
        </w:tc>
        <w:tc>
          <w:tcPr>
            <w:tcW w:w="1246" w:type="dxa"/>
            <w:tcBorders>
              <w:top w:val="nil"/>
              <w:left w:val="nil"/>
              <w:bottom w:val="nil"/>
              <w:right w:val="nil"/>
            </w:tcBorders>
            <w:vAlign w:val="center"/>
          </w:tcPr>
          <w:p w:rsidR="004F3A7C" w:rsidRDefault="004F3A7C" w:rsidP="00AB2010">
            <w:pPr>
              <w:pStyle w:val="BodyText"/>
              <w:ind w:firstLine="0"/>
              <w:jc w:val="right"/>
            </w:pPr>
            <w:r>
              <w:t>(5.6)</w:t>
            </w:r>
          </w:p>
        </w:tc>
      </w:tr>
    </w:tbl>
    <w:p w:rsidR="004F3A7C" w:rsidRDefault="004F3A7C" w:rsidP="00DC14B9">
      <w:pPr>
        <w:pStyle w:val="BodyText"/>
        <w:ind w:firstLine="0"/>
        <w:jc w:val="both"/>
      </w:pPr>
      <w:r w:rsidRPr="00222E24">
        <w:t xml:space="preserve">where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w:t>
      </w:r>
      <w:r w:rsidRPr="00222E24">
        <w:t xml:space="preserve">km tangent height. The second term </w:t>
      </w:r>
      <w:r>
        <w:t xml:space="preserve">in Equation 5.6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xml:space="preserve">, 2012b). </w:t>
      </w:r>
      <w:r w:rsidRPr="00305B19">
        <w:fldChar w:fldCharType="begin"/>
      </w:r>
      <w:r w:rsidRPr="00305B19">
        <w:instrText xml:space="preserve"> REF _Ref435791797 \h  \* MERGEFORMAT </w:instrText>
      </w:r>
      <w:r w:rsidRPr="00305B19">
        <w:fldChar w:fldCharType="separate"/>
      </w:r>
      <w:r w:rsidRPr="00305B19">
        <w:t>Figure 5-</w:t>
      </w:r>
      <w:r w:rsidRPr="00305B19">
        <w:rPr>
          <w:noProof/>
        </w:rPr>
        <w:t>9</w:t>
      </w:r>
      <w:r w:rsidRPr="00305B19">
        <w:fldChar w:fldCharType="end"/>
      </w:r>
      <w:r>
        <w:t xml:space="preserve">a shows the measurement vector from a 750 nm image (number 208) from the center of the CCD. The final measurement vector, </w:t>
      </w:r>
      <m:oMath>
        <m:r>
          <m:rPr>
            <m:sty m:val="bi"/>
          </m:rPr>
          <w:rPr>
            <w:rFonts w:ascii="Cambria Math" w:hAnsi="Cambria Math"/>
          </w:rPr>
          <m:t>y</m:t>
        </m:r>
      </m:oMath>
      <w:r>
        <w:rPr>
          <w:b/>
        </w:rPr>
        <w:t>,</w:t>
      </w:r>
      <w:r>
        <w:t xml:space="preserve"> is shown in the black, with the first term of Equation 5.6 in blue and the second term in red. R</w:t>
      </w:r>
      <w:r w:rsidRPr="00305B19">
        <w:t xml:space="preserve">emoving the Rayleigh component of the signal from the </w:t>
      </w:r>
      <w:r>
        <w:t>measurement vector</w:t>
      </w:r>
      <w:r w:rsidRPr="00305B19">
        <w:t xml:space="preserve"> increases the s</w:t>
      </w:r>
      <w:r>
        <w:t>ensitivity</w:t>
      </w:r>
      <w:r w:rsidRPr="00305B19">
        <w:t xml:space="preserve"> </w:t>
      </w:r>
      <w:r>
        <w:t xml:space="preserve">to aerosol which increases the speed of convergence of the solution. All of the measurement vectors for the 750 nm images from the mission can be seen in </w:t>
      </w:r>
      <w:r w:rsidRPr="00057372">
        <w:fldChar w:fldCharType="begin"/>
      </w:r>
      <w:r w:rsidRPr="00057372">
        <w:instrText xml:space="preserve"> REF _Ref435791797 \h  \* MERGEFORMAT </w:instrText>
      </w:r>
      <w:r w:rsidRPr="00057372">
        <w:fldChar w:fldCharType="separate"/>
      </w:r>
      <w:r w:rsidRPr="00057372">
        <w:t>Figure 5-</w:t>
      </w:r>
      <w:r w:rsidRPr="00057372">
        <w:rPr>
          <w:noProof/>
        </w:rPr>
        <w:t>9</w:t>
      </w:r>
      <w:r w:rsidRPr="00057372">
        <w:fldChar w:fldCharType="end"/>
      </w:r>
      <w:r>
        <w:t>b.</w:t>
      </w:r>
    </w:p>
    <w:p w:rsidR="004F3A7C" w:rsidRDefault="004F3A7C" w:rsidP="00AC0D69">
      <w:pPr>
        <w:spacing w:line="480" w:lineRule="auto"/>
        <w:ind w:firstLine="720"/>
        <w:jc w:val="both"/>
      </w:pPr>
      <w:r w:rsidRPr="00222E24">
        <w:t xml:space="preserve">An initial guess state, </w:t>
      </w:r>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4F3A7C" w:rsidTr="003A2911">
        <w:tc>
          <w:tcPr>
            <w:tcW w:w="6804" w:type="dxa"/>
            <w:tcBorders>
              <w:top w:val="nil"/>
              <w:left w:val="nil"/>
              <w:bottom w:val="nil"/>
              <w:right w:val="nil"/>
            </w:tcBorders>
          </w:tcPr>
          <w:p w:rsidR="004F3A7C" w:rsidRPr="00C40C6B" w:rsidRDefault="004F3A7C" w:rsidP="003A2911">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4F3A7C" w:rsidRDefault="004F3A7C" w:rsidP="00FE362A">
            <w:pPr>
              <w:pStyle w:val="BodyText"/>
              <w:ind w:firstLine="0"/>
              <w:jc w:val="right"/>
            </w:pPr>
            <w:r>
              <w:t>(5.7)</w:t>
            </w:r>
          </w:p>
        </w:tc>
      </w:tr>
    </w:tbl>
    <w:p w:rsidR="004F3A7C" w:rsidRDefault="004F3A7C" w:rsidP="00926ABD">
      <w:pPr>
        <w:pStyle w:val="BodyText"/>
        <w:ind w:firstLine="0"/>
        <w:jc w:val="both"/>
      </w:pPr>
      <w:r w:rsidRPr="00222E24">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is the weighting matrix that relates the importance of each</w:t>
      </w:r>
      <w:r>
        <w:t xml:space="preserve"> element of the</w:t>
      </w:r>
      <w:r w:rsidRPr="00222E24">
        <w:t xml:space="preserve"> measurement vector to each shell altitude. </w:t>
      </w:r>
      <w:r>
        <w:t xml:space="preserve">It should be noted that this inversion technique is </w:t>
      </w:r>
      <w:r w:rsidRPr="00926ABD">
        <w:t xml:space="preserve">computationally efficient as it allows for the updating of the atmospheric state without calculating the </w:t>
      </w:r>
      <w:r>
        <w:t>J</w:t>
      </w:r>
      <w:r w:rsidRPr="00926ABD">
        <w:t xml:space="preserve">acobian </w:t>
      </w:r>
      <w:r>
        <w:t>(</w:t>
      </w:r>
      <w:r w:rsidRPr="00630AA1">
        <w:rPr>
          <w:i/>
        </w:rPr>
        <w:t>Degenstein et al.</w:t>
      </w:r>
      <w:r>
        <w:t>, 2009)</w:t>
      </w:r>
      <w:r w:rsidRPr="00926ABD">
        <w:t xml:space="preserve">. </w:t>
      </w:r>
      <w:r>
        <w:t xml:space="preserve"> This iterative process is run until the solution has converged and the value of the summation is approximately one and the final aerosol state is determined.</w:t>
      </w:r>
    </w:p>
    <w:p w:rsidR="004F3A7C" w:rsidRDefault="004F3A7C" w:rsidP="00451BF6">
      <w:pPr>
        <w:pStyle w:val="BodyText"/>
        <w:jc w:val="both"/>
      </w:pPr>
      <w:r>
        <w:t xml:space="preserve">In order to determine the precision on the retrieved aerosol profiles, an error estimate on the measurement vector is performed. To yield the error on the measurement vector at a specific tangent altitude, </w:t>
      </w:r>
      <m:oMath>
        <m:r>
          <w:rPr>
            <w:rFonts w:ascii="Cambria Math" w:hAnsi="Cambria Math"/>
          </w:rPr>
          <m:t>j</m:t>
        </m:r>
      </m:oMath>
      <w:r>
        <w:t>, Equation 5.6 is differentiated and summed in quadrature yielding the following result</w:t>
      </w:r>
    </w:p>
    <w:tbl>
      <w:tblPr>
        <w:tblStyle w:val="TableGrid"/>
        <w:tblW w:w="9498" w:type="dxa"/>
        <w:tblLook w:val="04A0" w:firstRow="1" w:lastRow="0" w:firstColumn="1" w:lastColumn="0" w:noHBand="0" w:noVBand="1"/>
      </w:tblPr>
      <w:tblGrid>
        <w:gridCol w:w="8364"/>
        <w:gridCol w:w="1134"/>
      </w:tblGrid>
      <w:tr w:rsidR="004F3A7C" w:rsidTr="00A747D1">
        <w:tc>
          <w:tcPr>
            <w:tcW w:w="8364" w:type="dxa"/>
            <w:tcBorders>
              <w:top w:val="nil"/>
              <w:left w:val="nil"/>
              <w:bottom w:val="nil"/>
              <w:right w:val="nil"/>
            </w:tcBorders>
          </w:tcPr>
          <w:p w:rsidR="004F3A7C" w:rsidRPr="00C40C6B" w:rsidRDefault="004F3A7C"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4F3A7C" w:rsidRDefault="004F3A7C" w:rsidP="00451BF6">
            <w:pPr>
              <w:pStyle w:val="BodyText"/>
              <w:ind w:firstLine="0"/>
              <w:jc w:val="right"/>
            </w:pPr>
            <w:r>
              <w:t>(5.8)</w:t>
            </w:r>
          </w:p>
        </w:tc>
      </w:tr>
    </w:tbl>
    <w:p w:rsidR="004F3A7C" w:rsidRDefault="004F3A7C" w:rsidP="00A747D1">
      <w:pPr>
        <w:pStyle w:val="BodyText"/>
        <w:ind w:firstLine="0"/>
        <w:jc w:val="both"/>
      </w:pPr>
      <w:r>
        <w:t>However, the only error that is considered is due to the instrument measurement and calibrations, inaccuracies in the SASKTRAN-HR model are ignored. Since the Rayleigh components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4F3A7C" w:rsidTr="003A2911">
        <w:tc>
          <w:tcPr>
            <w:tcW w:w="6804" w:type="dxa"/>
            <w:tcBorders>
              <w:top w:val="nil"/>
              <w:left w:val="nil"/>
              <w:bottom w:val="nil"/>
              <w:right w:val="nil"/>
            </w:tcBorders>
          </w:tcPr>
          <w:p w:rsidR="004F3A7C" w:rsidRPr="00C40C6B" w:rsidRDefault="004F3A7C" w:rsidP="00813314">
            <w:pPr>
              <w:pStyle w:val="BodyText"/>
              <w:ind w:firstLine="289"/>
              <w:jc w:val="right"/>
            </w:pPr>
            <m:oMathPara>
              <m:oMath>
                <m:sSubSup>
                  <m:sSubSupPr>
                    <m:ctrlPr>
                      <w:rPr>
                        <w:rFonts w:ascii="Cambria Math" w:hAnsi="Cambria Math"/>
                        <w:i/>
                      </w:rPr>
                    </m:ctrlPr>
                  </m:sSubSupPr>
                  <m:e>
                    <m:r>
                      <w:rPr>
                        <w:rFonts w:ascii="Cambria Math" w:hAnsi="Cambria Math"/>
                      </w:rPr>
                      <m:t>δy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4F3A7C" w:rsidRDefault="004F3A7C" w:rsidP="000921FA">
            <w:pPr>
              <w:pStyle w:val="BodyText"/>
              <w:ind w:firstLine="0"/>
              <w:jc w:val="right"/>
            </w:pPr>
            <w:r>
              <w:t>(5.9)</w:t>
            </w:r>
          </w:p>
        </w:tc>
      </w:tr>
    </w:tbl>
    <w:p w:rsidR="004F3A7C" w:rsidRDefault="004F3A7C" w:rsidP="00085A94">
      <w:pPr>
        <w:pStyle w:val="BodyText"/>
        <w:ind w:firstLine="0"/>
        <w:jc w:val="both"/>
      </w:pPr>
      <w:r>
        <w:t xml:space="preserve">An example of the error on a measurement vector for image 208 is located on </w:t>
      </w:r>
      <w:r w:rsidRPr="000921FA">
        <w:fldChar w:fldCharType="begin"/>
      </w:r>
      <w:r w:rsidRPr="000921FA">
        <w:instrText xml:space="preserve"> REF _Ref435791797 \h  \* MERGEFORMAT </w:instrText>
      </w:r>
      <w:r w:rsidRPr="000921FA">
        <w:fldChar w:fldCharType="separate"/>
      </w:r>
      <w:r w:rsidRPr="000921FA">
        <w:t>Figure 5-</w:t>
      </w:r>
      <w:r w:rsidRPr="000921FA">
        <w:rPr>
          <w:noProof/>
        </w:rPr>
        <w:t>9</w:t>
      </w:r>
      <w:r w:rsidRPr="000921FA">
        <w:fldChar w:fldCharType="end"/>
      </w:r>
      <w:r>
        <w:t>c.</w:t>
      </w:r>
    </w:p>
    <w:p w:rsidR="004F3A7C" w:rsidRDefault="004F3A7C" w:rsidP="00F8261E">
      <w:pPr>
        <w:pStyle w:val="BodyText"/>
      </w:pPr>
    </w:p>
    <w:p w:rsidR="004F3A7C" w:rsidRDefault="004F3A7C" w:rsidP="004D479A">
      <w:pPr>
        <w:pStyle w:val="BodyText"/>
        <w:keepNext/>
        <w:ind w:firstLine="0"/>
        <w:jc w:val="center"/>
      </w:pPr>
      <w:r>
        <w:rPr>
          <w:noProof/>
          <w:lang w:val="en-CA" w:eastAsia="en-CA"/>
        </w:rPr>
        <w:drawing>
          <wp:inline distT="0" distB="0" distL="0" distR="0" wp14:anchorId="79AA7DF5" wp14:editId="1CAF07C8">
            <wp:extent cx="5943600" cy="24085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8555"/>
                    </a:xfrm>
                    <a:prstGeom prst="rect">
                      <a:avLst/>
                    </a:prstGeom>
                  </pic:spPr>
                </pic:pic>
              </a:graphicData>
            </a:graphic>
          </wp:inline>
        </w:drawing>
      </w:r>
    </w:p>
    <w:p w:rsidR="004F3A7C" w:rsidRDefault="004F3A7C" w:rsidP="00813314">
      <w:pPr>
        <w:pStyle w:val="Caption"/>
        <w:jc w:val="center"/>
      </w:pPr>
      <w:bookmarkStart w:id="30" w:name="_Ref435791797"/>
      <w:bookmarkStart w:id="31" w:name="_Toc439680467"/>
      <w:r w:rsidRPr="004D479A">
        <w:rPr>
          <w:b/>
        </w:rPr>
        <w:t>Figure 5-</w:t>
      </w:r>
      <w:r w:rsidRPr="004D479A">
        <w:rPr>
          <w:b/>
        </w:rPr>
        <w:fldChar w:fldCharType="begin"/>
      </w:r>
      <w:r w:rsidRPr="004D479A">
        <w:rPr>
          <w:b/>
        </w:rPr>
        <w:instrText xml:space="preserve"> SEQ Figure \* ARABIC </w:instrText>
      </w:r>
      <w:r w:rsidRPr="004D479A">
        <w:rPr>
          <w:b/>
        </w:rPr>
        <w:fldChar w:fldCharType="separate"/>
      </w:r>
      <w:r>
        <w:rPr>
          <w:b/>
          <w:noProof/>
        </w:rPr>
        <w:t>9</w:t>
      </w:r>
      <w:r w:rsidRPr="004D479A">
        <w:rPr>
          <w:b/>
        </w:rPr>
        <w:fldChar w:fldCharType="end"/>
      </w:r>
      <w:bookmarkEnd w:id="30"/>
      <w:r>
        <w:t>: (a) The black, blue, red curves represent the measurement vector, first term of Equation 5.6, and second term of Equation 5.6 using image 208 (b) A collection of all of the measurement vectors at 750 nm during the mission with a SZA greater than 90</w:t>
      </w:r>
      <w:r>
        <w:rPr>
          <w:vertAlign w:val="superscript"/>
        </w:rPr>
        <w:t>o</w:t>
      </w:r>
      <w:r>
        <w:t>. (c) Image 208 measurement vector with associated error represented by the shading.</w:t>
      </w:r>
      <w:bookmarkEnd w:id="31"/>
      <w:r>
        <w:t xml:space="preserve"> </w:t>
      </w:r>
    </w:p>
    <w:p w:rsidR="004F3A7C" w:rsidRPr="00813314" w:rsidRDefault="004F3A7C" w:rsidP="00813314"/>
    <w:p w:rsidR="004F3A7C" w:rsidRDefault="004F3A7C"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4F3A7C" w:rsidTr="003A2911">
        <w:tc>
          <w:tcPr>
            <w:tcW w:w="6804" w:type="dxa"/>
            <w:tcBorders>
              <w:top w:val="nil"/>
              <w:left w:val="nil"/>
              <w:bottom w:val="nil"/>
              <w:right w:val="nil"/>
            </w:tcBorders>
          </w:tcPr>
          <w:p w:rsidR="004F3A7C" w:rsidRPr="00450CAC" w:rsidRDefault="004F3A7C"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4F3A7C" w:rsidRDefault="004F3A7C" w:rsidP="00450CAC">
            <w:pPr>
              <w:pStyle w:val="BodyText"/>
              <w:ind w:firstLine="0"/>
              <w:jc w:val="right"/>
            </w:pPr>
            <w:r>
              <w:t>(5.10)</w:t>
            </w:r>
          </w:p>
        </w:tc>
      </w:tr>
    </w:tbl>
    <w:p w:rsidR="004F3A7C" w:rsidRDefault="004F3A7C" w:rsidP="00450CAC">
      <w:pPr>
        <w:spacing w:line="480" w:lineRule="auto"/>
        <w:jc w:val="both"/>
      </w:pPr>
      <w:r>
        <w:t xml:space="preserve">where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Pr="00222E24">
        <w:t xml:space="preserve">is </w:t>
      </w:r>
      <w:r>
        <w:t>calculated</w:t>
      </w:r>
      <w:r w:rsidRPr="00222E24">
        <w:t xml:space="preserve"> </w:t>
      </w:r>
      <w:r>
        <w:t>through successive numerical perturbation of the measurement vector and re-retrieval (</w:t>
      </w:r>
      <w:r w:rsidRPr="00630AA1">
        <w:rPr>
          <w:i/>
        </w:rPr>
        <w:t>Rodgers</w:t>
      </w:r>
      <w:r>
        <w:t>, 2000)</w:t>
      </w:r>
      <w:r w:rsidRPr="00222E24">
        <w:t xml:space="preserve">. </w:t>
      </w:r>
      <w:r>
        <w:t xml:space="preserve"> A much faster method to use the Jacobian to determine the uncertainty has been performed (</w:t>
      </w:r>
      <w:r w:rsidRPr="00630AA1">
        <w:rPr>
          <w:i/>
        </w:rPr>
        <w:t>Bourassa et al.</w:t>
      </w:r>
      <w:r>
        <w:t xml:space="preserve">, 2012a), as used in the analysis for chapter 4, but makes an assumption that the gain matrix is equal to the inverse of the Jacobian, as typically the averaging kernel is close to the identity matrix. However, this method adds additional uncertainty to the error estimate and was deemed unsuitable for the balloon campaign. Instead, with a limited set of balloon data, it is feasible to calculate the gain matrix directly. </w:t>
      </w:r>
      <w:r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4F3A7C" w:rsidTr="003A2911">
        <w:tc>
          <w:tcPr>
            <w:tcW w:w="6804" w:type="dxa"/>
            <w:tcBorders>
              <w:top w:val="nil"/>
              <w:left w:val="nil"/>
              <w:bottom w:val="nil"/>
              <w:right w:val="nil"/>
            </w:tcBorders>
          </w:tcPr>
          <w:p w:rsidR="004F3A7C" w:rsidRPr="00C40C6B" w:rsidRDefault="004F3A7C" w:rsidP="00813314">
            <w:pPr>
              <w:pStyle w:val="BodyText"/>
              <w:ind w:firstLine="289"/>
              <w:jc w:val="right"/>
            </w:pPr>
            <m:oMathPara>
              <m:oMath>
                <m:r>
                  <m:rPr>
                    <m:sty m:val="bi"/>
                  </m:rPr>
                  <w:rPr>
                    <w:rFonts w:ascii="Cambria Math" w:hAnsi="Cambria Math"/>
                  </w:rPr>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4F3A7C" w:rsidRDefault="004F3A7C" w:rsidP="00450CAC">
            <w:pPr>
              <w:pStyle w:val="BodyText"/>
              <w:ind w:firstLine="0"/>
              <w:jc w:val="right"/>
            </w:pPr>
            <w:r>
              <w:t>(5.11)</w:t>
            </w:r>
          </w:p>
        </w:tc>
      </w:tr>
    </w:tbl>
    <w:p w:rsidR="004F3A7C" w:rsidRDefault="004F3A7C" w:rsidP="00813314">
      <w:pPr>
        <w:spacing w:line="480" w:lineRule="auto"/>
        <w:jc w:val="both"/>
      </w:pPr>
      <w:r w:rsidRPr="00222E24">
        <w:t xml:space="preserve">where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4F3A7C" w:rsidTr="003A2911">
        <w:tc>
          <w:tcPr>
            <w:tcW w:w="6804" w:type="dxa"/>
            <w:tcBorders>
              <w:top w:val="nil"/>
              <w:left w:val="nil"/>
              <w:bottom w:val="nil"/>
              <w:right w:val="nil"/>
            </w:tcBorders>
          </w:tcPr>
          <w:p w:rsidR="004F3A7C" w:rsidRPr="00C40C6B" w:rsidRDefault="004F3A7C"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4F3A7C" w:rsidRDefault="004F3A7C" w:rsidP="003A2911">
            <w:pPr>
              <w:pStyle w:val="BodyText"/>
              <w:ind w:firstLine="0"/>
              <w:jc w:val="right"/>
            </w:pPr>
            <w:r>
              <w:t>(5.12)</w:t>
            </w:r>
          </w:p>
        </w:tc>
      </w:tr>
    </w:tbl>
    <w:p w:rsidR="004F3A7C" w:rsidRDefault="004F3A7C" w:rsidP="00813314">
      <w:pPr>
        <w:spacing w:line="480" w:lineRule="auto"/>
        <w:jc w:val="both"/>
      </w:pPr>
      <w:r>
        <w:t>where the individual terms are given by</w:t>
      </w:r>
    </w:p>
    <w:tbl>
      <w:tblPr>
        <w:tblStyle w:val="TableGrid"/>
        <w:tblW w:w="8050" w:type="dxa"/>
        <w:tblInd w:w="1418" w:type="dxa"/>
        <w:tblLook w:val="04A0" w:firstRow="1" w:lastRow="0" w:firstColumn="1" w:lastColumn="0" w:noHBand="0" w:noVBand="1"/>
      </w:tblPr>
      <w:tblGrid>
        <w:gridCol w:w="6804"/>
        <w:gridCol w:w="1246"/>
      </w:tblGrid>
      <w:tr w:rsidR="004F3A7C" w:rsidTr="003A2911">
        <w:tc>
          <w:tcPr>
            <w:tcW w:w="6804" w:type="dxa"/>
            <w:tcBorders>
              <w:top w:val="nil"/>
              <w:left w:val="nil"/>
              <w:bottom w:val="nil"/>
              <w:right w:val="nil"/>
            </w:tcBorders>
          </w:tcPr>
          <w:p w:rsidR="004F3A7C" w:rsidRPr="00C40C6B" w:rsidRDefault="004F3A7C" w:rsidP="00D85B74">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4F3A7C" w:rsidRDefault="004F3A7C" w:rsidP="00D85B74">
            <w:pPr>
              <w:pStyle w:val="BodyText"/>
              <w:ind w:firstLine="0"/>
              <w:jc w:val="right"/>
            </w:pPr>
            <w:r>
              <w:t>(5.13)</w:t>
            </w:r>
          </w:p>
        </w:tc>
      </w:tr>
    </w:tbl>
    <w:p w:rsidR="004F3A7C" w:rsidRPr="00222E24" w:rsidRDefault="004F3A7C" w:rsidP="00813314">
      <w:pPr>
        <w:spacing w:line="480" w:lineRule="auto"/>
        <w:jc w:val="both"/>
      </w:pPr>
      <w:r>
        <w:t xml:space="preserve"> </w:t>
      </w:r>
      <w:r w:rsidRPr="00222E24">
        <w:t xml:space="preserve">The </w:t>
      </w:r>
      <w:r>
        <w:t xml:space="preserve">reported </w:t>
      </w:r>
      <w:r w:rsidRPr="00222E24">
        <w:t xml:space="preserve">precision for ALI </w:t>
      </w:r>
      <w:r>
        <w:t xml:space="preserve">aerosol extinction retrievals </w:t>
      </w:r>
      <w:r w:rsidRPr="00222E24">
        <w:t xml:space="preserve">is the square root of the diagonal of </w:t>
      </w:r>
      <m:oMath>
        <m:r>
          <m:rPr>
            <m:sty m:val="bi"/>
          </m:rPr>
          <w:rPr>
            <w:rFonts w:ascii="Cambria Math" w:hAnsi="Cambria Math"/>
          </w:rPr>
          <m:t>E</m:t>
        </m:r>
      </m:oMath>
      <w:r w:rsidRPr="00222E24">
        <w:t>.</w:t>
      </w:r>
    </w:p>
    <w:p w:rsidR="004F3A7C" w:rsidRDefault="004F3A7C" w:rsidP="00450CAC">
      <w:pPr>
        <w:pStyle w:val="BodyText"/>
        <w:jc w:val="both"/>
      </w:pPr>
      <w:r>
        <w:t>Ideally, the ALI measurements would be used independently to also retrieve ozone in the Chappuis band (600-700 nm range for ALI).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The ozone cross sections were determined by </w:t>
      </w:r>
      <w:r w:rsidRPr="0064352E">
        <w:rPr>
          <w:i/>
        </w:rPr>
        <w:t>Burrows et al.</w:t>
      </w:r>
      <w:r>
        <w:t xml:space="preserve"> (1999).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ALI following the method of </w:t>
      </w:r>
      <w:r w:rsidRPr="00630AA1">
        <w:rPr>
          <w:i/>
        </w:rPr>
        <w:t>Bourassa et al.</w:t>
      </w:r>
      <w:r>
        <w:t>, 2012b, however due to the lack of an absolute calibration this was not possible.</w:t>
      </w:r>
    </w:p>
    <w:p w:rsidR="004F3A7C" w:rsidRDefault="004F3A7C" w:rsidP="00395867">
      <w:pPr>
        <w:pStyle w:val="Heading2"/>
      </w:pPr>
      <w:bookmarkStart w:id="32" w:name="_Toc439680338"/>
      <w:r>
        <w:t>5.3.2 Aerosol Extinction Retrievals</w:t>
      </w:r>
      <w:bookmarkEnd w:id="32"/>
    </w:p>
    <w:p w:rsidR="004F3A7C" w:rsidRDefault="004F3A7C" w:rsidP="003A2911">
      <w:pPr>
        <w:pStyle w:val="BodyText"/>
        <w:jc w:val="both"/>
      </w:pPr>
      <w:r>
        <w:t xml:space="preserve">The complete mission consisted of 216 images that were recorded in illuminated conditions. The MART retrieval method was run on a select complete cycle for the purpose of the analysis, specifically the set of images from 650 to 950 nm consisting of images 204-216. For the purpose of the retrieval an </w:t>
      </w:r>
      <w:r w:rsidRPr="003A2911">
        <w:rPr>
          <w:i/>
        </w:rPr>
        <w:t>a priori</w:t>
      </w:r>
      <w:r>
        <w:t xml:space="preserve"> for particle size distribution was used with a mode radius of 0.08 µm and a mode width of 1.6 (</w:t>
      </w:r>
      <w:r w:rsidRPr="00DE0162">
        <w:rPr>
          <w:i/>
        </w:rPr>
        <w:t>Thomason</w:t>
      </w:r>
      <w:r>
        <w:t xml:space="preserve">, 1991). A sample of the retrievals can be observed in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which highlights the 750, 850, and 950 nm retrievals. The left panels show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w:t>
      </w:r>
      <m:oMath>
        <m:r>
          <w:rPr>
            <w:rFonts w:ascii="Cambria Math" w:hAnsi="Cambria Math"/>
          </w:rPr>
          <m:t>α</m:t>
        </m:r>
      </m:oMath>
      <w:r>
        <w:t xml:space="preserve">, given by the summation term in Equation 5.7 is scaled to the aerosol profile above and below the last retrieved point to keep the aerosol profile smooth, as discontinuities are nonphysical and can lead to a nonphysical result in the MART algorithm. The middle panel shows the convergence between the measurement vector and the forward model result. The right column of </w:t>
      </w:r>
      <w:r w:rsidRPr="00933DB1">
        <w:fldChar w:fldCharType="begin"/>
      </w:r>
      <w:r w:rsidRPr="00933DB1">
        <w:instrText xml:space="preserve"> REF _Ref435868320 \h  \* MERGEFORMAT </w:instrText>
      </w:r>
      <w:r w:rsidRPr="00933DB1">
        <w:fldChar w:fldCharType="separate"/>
      </w:r>
      <w:r w:rsidRPr="00933DB1">
        <w:t>Figure 5-</w:t>
      </w:r>
      <w:r w:rsidRPr="00933DB1">
        <w:rPr>
          <w:noProof/>
        </w:rPr>
        <w:t>10</w:t>
      </w:r>
      <w:r w:rsidRPr="00933DB1">
        <w:fldChar w:fldCharType="end"/>
      </w:r>
      <w:r>
        <w:t xml:space="preserve"> is the received aerosol profiles in blue with the associated error calculated using the method described in the previous section.</w:t>
      </w:r>
    </w:p>
    <w:p w:rsidR="004F3A7C" w:rsidRDefault="004F3A7C" w:rsidP="003A2911">
      <w:pPr>
        <w:pStyle w:val="BodyText"/>
        <w:jc w:val="both"/>
      </w:pPr>
      <w:r w:rsidRPr="00222E24">
        <w:t>The retrieved aerosol extinction profiles</w:t>
      </w:r>
      <w:r>
        <w:t xml:space="preserve"> for the analysis cycle</w:t>
      </w:r>
      <w:r w:rsidRPr="00222E24">
        <w:t xml:space="preserve"> can be seen in the left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t>, note the log scale. For the full range of the wavelengths, a difference of less than 2% between the measurement vector and forward model is seen throughout the retrieval altitude from approximately 13 to 29 km. Note the behavior of decreasing extinction with increasing wavelength as</w:t>
      </w:r>
      <w:r w:rsidRPr="00222E24">
        <w:t xml:space="preserve"> expected due to the dependence of the cross section with respect to particle size.</w:t>
      </w:r>
    </w:p>
    <w:p w:rsidR="004F3A7C" w:rsidRDefault="004F3A7C" w:rsidP="003A2911">
      <w:pPr>
        <w:pStyle w:val="BodyText"/>
        <w:jc w:val="both"/>
      </w:pPr>
    </w:p>
    <w:p w:rsidR="004F3A7C" w:rsidRDefault="004F3A7C" w:rsidP="003A2911">
      <w:pPr>
        <w:pStyle w:val="BodyText"/>
        <w:keepNext/>
        <w:ind w:firstLine="0"/>
        <w:jc w:val="center"/>
      </w:pPr>
      <w:r>
        <w:rPr>
          <w:noProof/>
          <w:lang w:val="en-CA" w:eastAsia="en-CA"/>
        </w:rPr>
        <w:drawing>
          <wp:inline distT="0" distB="0" distL="0" distR="0" wp14:anchorId="01CA4D2A" wp14:editId="48FEFF00">
            <wp:extent cx="5943600" cy="5943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AliRetreival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4F3A7C" w:rsidRDefault="004F3A7C" w:rsidP="003A2911">
      <w:pPr>
        <w:pStyle w:val="Caption"/>
        <w:jc w:val="center"/>
      </w:pPr>
      <w:bookmarkStart w:id="33" w:name="_Ref435868320"/>
      <w:bookmarkStart w:id="34" w:name="_Toc439680468"/>
      <w:r w:rsidRPr="00931E05">
        <w:rPr>
          <w:b/>
        </w:rPr>
        <w:t>Figure 5-</w:t>
      </w:r>
      <w:r w:rsidRPr="00931E05">
        <w:rPr>
          <w:b/>
        </w:rPr>
        <w:fldChar w:fldCharType="begin"/>
      </w:r>
      <w:r w:rsidRPr="00931E05">
        <w:rPr>
          <w:b/>
        </w:rPr>
        <w:instrText xml:space="preserve"> SEQ Figure \* ARABIC </w:instrText>
      </w:r>
      <w:r w:rsidRPr="00931E05">
        <w:rPr>
          <w:b/>
        </w:rPr>
        <w:fldChar w:fldCharType="separate"/>
      </w:r>
      <w:r>
        <w:rPr>
          <w:b/>
          <w:noProof/>
        </w:rPr>
        <w:t>10</w:t>
      </w:r>
      <w:r w:rsidRPr="00931E05">
        <w:rPr>
          <w:b/>
        </w:rPr>
        <w:fldChar w:fldCharType="end"/>
      </w:r>
      <w:bookmarkEnd w:id="33"/>
      <w:r w:rsidRPr="00F8182C">
        <w:rPr>
          <w:b/>
        </w:rPr>
        <w:t>:</w:t>
      </w:r>
      <w:r>
        <w:t xml:space="preserve"> An example of three aerosol retrievals from images 206, 208, and 214, with center wavelengths of 750, 850, and 950 nm respectively are vertically displayed in the figure from top to bottom. The left column shows the measurement vector, </w:t>
      </w:r>
      <m:oMath>
        <m:r>
          <m:rPr>
            <m:sty m:val="bi"/>
          </m:rPr>
          <w:rPr>
            <w:rFonts w:ascii="Cambria Math" w:hAnsi="Cambria Math"/>
          </w:rPr>
          <m:t>y</m:t>
        </m:r>
      </m:oMath>
      <w:r>
        <w:t xml:space="preserve">, in black with the retrieved forward model, </w:t>
      </w:r>
      <m:oMath>
        <m:r>
          <m:rPr>
            <m:sty m:val="bi"/>
          </m:rPr>
          <w:rPr>
            <w:rFonts w:ascii="Cambria Math" w:hAnsi="Cambria Math"/>
          </w:rPr>
          <m:t>F</m:t>
        </m:r>
      </m:oMath>
      <w:r>
        <w:t xml:space="preserve">, in blue. The center column shows the ratio of the measurement vector over forward model known as </w:t>
      </w:r>
      <m:oMath>
        <m:r>
          <m:rPr>
            <m:sty m:val="bi"/>
          </m:rPr>
          <w:rPr>
            <w:rFonts w:ascii="Cambria Math" w:hAnsi="Cambria Math"/>
          </w:rPr>
          <m:t>α</m:t>
        </m:r>
      </m:oMath>
      <w:r>
        <w:t xml:space="preserve"> and is the convergence factor between the ALI measurement and the forward model. For both of the first two columns, the black line is barely viable due to the very good agreement of the forward model. The final column is ALI aerosol extinction in blue with the associated error represented by the light blue shading.</w:t>
      </w:r>
      <w:bookmarkEnd w:id="34"/>
    </w:p>
    <w:p w:rsidR="004F3A7C" w:rsidRDefault="004F3A7C" w:rsidP="001D40D3">
      <w:pPr>
        <w:pStyle w:val="BodyText"/>
        <w:keepNext/>
        <w:ind w:firstLine="0"/>
        <w:jc w:val="center"/>
      </w:pPr>
      <w:r>
        <w:rPr>
          <w:noProof/>
          <w:lang w:val="en-CA" w:eastAsia="en-CA"/>
        </w:rPr>
        <w:drawing>
          <wp:inline distT="0" distB="0" distL="0" distR="0" wp14:anchorId="79898C6C" wp14:editId="2CDD11E2">
            <wp:extent cx="5943600" cy="3962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FullAerosolCycleCompariso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4F3A7C" w:rsidRDefault="004F3A7C" w:rsidP="001D40D3">
      <w:pPr>
        <w:pStyle w:val="Caption"/>
        <w:jc w:val="center"/>
      </w:pPr>
      <w:bookmarkStart w:id="35" w:name="_Ref435869209"/>
      <w:bookmarkStart w:id="36" w:name="_Toc439680469"/>
      <w:r w:rsidRPr="001D40D3">
        <w:rPr>
          <w:b/>
        </w:rPr>
        <w:t>Figure 5-</w:t>
      </w:r>
      <w:r w:rsidRPr="001D40D3">
        <w:rPr>
          <w:b/>
        </w:rPr>
        <w:fldChar w:fldCharType="begin"/>
      </w:r>
      <w:r w:rsidRPr="001D40D3">
        <w:rPr>
          <w:b/>
        </w:rPr>
        <w:instrText xml:space="preserve"> SEQ Figure \* ARABIC </w:instrText>
      </w:r>
      <w:r w:rsidRPr="001D40D3">
        <w:rPr>
          <w:b/>
        </w:rPr>
        <w:fldChar w:fldCharType="separate"/>
      </w:r>
      <w:r>
        <w:rPr>
          <w:b/>
          <w:noProof/>
        </w:rPr>
        <w:t>11</w:t>
      </w:r>
      <w:r w:rsidRPr="001D40D3">
        <w:rPr>
          <w:b/>
        </w:rPr>
        <w:fldChar w:fldCharType="end"/>
      </w:r>
      <w:bookmarkEnd w:id="35"/>
      <w:r w:rsidRPr="001D40D3">
        <w:rPr>
          <w:b/>
        </w:rPr>
        <w:t>:</w:t>
      </w:r>
      <w:r>
        <w:t xml:space="preserve"> </w:t>
      </w:r>
      <w:r w:rsidRPr="00222E24">
        <w:t>Left is the retrieved aerosol extinction profiles from the last complete imaging cycle consisting of images 205 to 216 from the 0.0</w:t>
      </w:r>
      <w:r>
        <w:rPr>
          <w:vertAlign w:val="superscript"/>
        </w:rPr>
        <w:t>o</w:t>
      </w:r>
      <w:r w:rsidRPr="00222E24">
        <w:t xml:space="preserve"> horizontal line</w:t>
      </w:r>
      <w:r>
        <w:t>-</w:t>
      </w:r>
      <w:r w:rsidRPr="00222E24">
        <w:t>of</w:t>
      </w:r>
      <w:r>
        <w:t>-</w:t>
      </w:r>
      <w:r w:rsidRPr="00222E24">
        <w:t>sight. Right is the 750</w:t>
      </w:r>
      <w:r>
        <w:t> </w:t>
      </w:r>
      <w:r w:rsidRPr="00222E24">
        <w:t>nm ALI aerosol extinction in blue with its error represented by the shading compared to the 750</w:t>
      </w:r>
      <w:r>
        <w:t> </w:t>
      </w:r>
      <w:r w:rsidRPr="00222E24">
        <w:t>nm extinction measured by OSIRIS in green</w:t>
      </w:r>
      <w:r>
        <w:t>.</w:t>
      </w:r>
      <w:bookmarkEnd w:id="36"/>
    </w:p>
    <w:p w:rsidR="004F3A7C" w:rsidRPr="001D40D3" w:rsidRDefault="004F3A7C" w:rsidP="001D40D3"/>
    <w:p w:rsidR="004F3A7C" w:rsidRDefault="004F3A7C" w:rsidP="0064352E">
      <w:pPr>
        <w:pStyle w:val="BodyText"/>
        <w:jc w:val="both"/>
      </w:pPr>
      <w:r w:rsidRPr="00222E24">
        <w:t xml:space="preserve">The </w:t>
      </w:r>
      <w:r>
        <w:t xml:space="preserve">ALI 750 nm aerosol extinction </w:t>
      </w:r>
      <w:r w:rsidRPr="00222E24">
        <w:t xml:space="preserve">profile is shown </w:t>
      </w:r>
      <w:r>
        <w:t xml:space="preserve">in the right panel of </w:t>
      </w:r>
      <w:r w:rsidRPr="0064352E">
        <w:fldChar w:fldCharType="begin"/>
      </w:r>
      <w:r w:rsidRPr="0064352E">
        <w:instrText xml:space="preserve"> REF _Ref435869209 \h  \* MERGEFORMAT </w:instrText>
      </w:r>
      <w:r w:rsidRPr="0064352E">
        <w:fldChar w:fldCharType="separate"/>
      </w:r>
      <w:r w:rsidRPr="0064352E">
        <w:t>Figure 5-</w:t>
      </w:r>
      <w:r w:rsidRPr="0064352E">
        <w:rPr>
          <w:noProof/>
        </w:rPr>
        <w:t>11</w:t>
      </w:r>
      <w:r w:rsidRPr="0064352E">
        <w:fldChar w:fldCharType="end"/>
      </w:r>
      <w:r>
        <w:t xml:space="preserve"> </w:t>
      </w:r>
      <w:r w:rsidRPr="00222E24">
        <w:t>in blue with the shading representing the precision of the retriev</w:t>
      </w:r>
      <w:r>
        <w:t>al</w:t>
      </w:r>
      <w:r w:rsidRPr="00222E24">
        <w:t xml:space="preserve">. The error is strictly based on measurement </w:t>
      </w:r>
      <w:r>
        <w:t>and instrument uncertainty</w:t>
      </w:r>
      <w:r w:rsidRPr="00222E24">
        <w:t xml:space="preserve"> and neglects any model and atmospheric state </w:t>
      </w:r>
      <w:r>
        <w:t>uncertainties as previously outlined</w:t>
      </w:r>
      <w:r w:rsidRPr="00222E24">
        <w:t>. The green curve is the average 750</w:t>
      </w:r>
      <w:r>
        <w:t>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the total retrieval uncertainty below 20 km</w:t>
      </w:r>
      <w:r w:rsidRPr="00222E24">
        <w:t>.</w:t>
      </w:r>
      <w:r>
        <w:t xml:space="preserve"> It is encouraging, however, that </w:t>
      </w:r>
      <w:r w:rsidRPr="00222E24">
        <w:t xml:space="preserve">the instruments follow the same overall profile shape </w:t>
      </w:r>
      <w:r>
        <w:t>including the stratospheric layer and the steep increase below 15 km. However, the OSIRIS and ALI extinctions do not agree within error between 20 to 25 km. Aerosol is notoriously difficult to validate in remote sensing with various technique and instrument geometries, and yet the SAGE II, SAGE III and OSIRIS differences are generally below 20-30% up to 30 km (</w:t>
      </w:r>
      <w:r w:rsidRPr="0064352E">
        <w:rPr>
          <w:i/>
        </w:rPr>
        <w:t>Bourassa et al.</w:t>
      </w:r>
      <w:r>
        <w:t xml:space="preserve">, 2012b; </w:t>
      </w:r>
      <w:r w:rsidRPr="0064352E">
        <w:rPr>
          <w:i/>
        </w:rPr>
        <w:t>Rieger et al.</w:t>
      </w:r>
      <w:r>
        <w:t xml:space="preserve">,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w:t>
      </w:r>
    </w:p>
    <w:p w:rsidR="004F3A7C" w:rsidRDefault="004F3A7C" w:rsidP="00853EC2">
      <w:pPr>
        <w:pStyle w:val="BodyText"/>
        <w:keepNext/>
        <w:ind w:firstLine="0"/>
        <w:jc w:val="center"/>
      </w:pPr>
      <w:r>
        <w:rPr>
          <w:noProof/>
          <w:lang w:val="en-CA" w:eastAsia="en-CA"/>
        </w:rPr>
        <w:drawing>
          <wp:inline distT="0" distB="0" distL="0" distR="0" wp14:anchorId="3803CE50" wp14:editId="050EAA48">
            <wp:extent cx="5943600" cy="3962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3-AliRetreivalSensitiv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4F3A7C" w:rsidRDefault="004F3A7C" w:rsidP="00853EC2">
      <w:pPr>
        <w:pStyle w:val="Caption"/>
        <w:jc w:val="center"/>
      </w:pPr>
      <w:bookmarkStart w:id="37" w:name="_Ref435877839"/>
      <w:bookmarkStart w:id="38" w:name="_Toc439680470"/>
      <w:r w:rsidRPr="00853EC2">
        <w:rPr>
          <w:b/>
        </w:rPr>
        <w:t>Figure 5-</w:t>
      </w:r>
      <w:r w:rsidRPr="00853EC2">
        <w:rPr>
          <w:b/>
        </w:rPr>
        <w:fldChar w:fldCharType="begin"/>
      </w:r>
      <w:r w:rsidRPr="00853EC2">
        <w:rPr>
          <w:b/>
        </w:rPr>
        <w:instrText xml:space="preserve"> SEQ Figure \* ARABIC </w:instrText>
      </w:r>
      <w:r w:rsidRPr="00853EC2">
        <w:rPr>
          <w:b/>
        </w:rPr>
        <w:fldChar w:fldCharType="separate"/>
      </w:r>
      <w:r>
        <w:rPr>
          <w:b/>
          <w:noProof/>
        </w:rPr>
        <w:t>12</w:t>
      </w:r>
      <w:r w:rsidRPr="00853EC2">
        <w:rPr>
          <w:b/>
        </w:rPr>
        <w:fldChar w:fldCharType="end"/>
      </w:r>
      <w:bookmarkEnd w:id="37"/>
      <w:r w:rsidRPr="00853EC2">
        <w:rPr>
          <w:b/>
        </w:rPr>
        <w:t>:</w:t>
      </w:r>
      <w:r>
        <w:t xml:space="preserve"> (a) Image 208 (750 nm) re-retrieved using an albedo of 0 and 1 compared to the original albedo used from OSIRIS. (b) Using the determined zenith pointing error from section 5.2, image 208 is retrieved again using the maximum possible pointing error compared to the original.</w:t>
      </w:r>
      <w:bookmarkEnd w:id="38"/>
    </w:p>
    <w:p w:rsidR="004F3A7C" w:rsidRPr="00853EC2" w:rsidRDefault="004F3A7C" w:rsidP="00853EC2"/>
    <w:p w:rsidR="004F3A7C" w:rsidRDefault="004F3A7C" w:rsidP="004702F4">
      <w:pPr>
        <w:pStyle w:val="BodyText"/>
        <w:jc w:val="both"/>
      </w:pPr>
      <w:r>
        <w:t xml:space="preserve">As a further note, other issues may have resulted in the disagreement between OSIRIS and ALI, mainly the estimation of the albedo and the pointing inaccuracies. For the albedo, as noted in TODO: ADD SECTION, linear polarized aerosol retrievals have a much larger sensitivity to albedo. For a scalar retrieval, changing the albedo from zero to one results in approximately a 30% increase in the aerosol extinction, but for a linear polarized measurement this change in albedo can be as large as a 100% increase. Image 208 from the ALI campaign was rerun using an albedo of zero and one and the outcome of the retrieval can be seen in </w:t>
      </w:r>
      <w:r w:rsidRPr="00891729">
        <w:fldChar w:fldCharType="begin"/>
      </w:r>
      <w:r w:rsidRPr="00891729">
        <w:instrText xml:space="preserve"> REF _Ref435877839 \h  \* MERGEFORMAT </w:instrText>
      </w:r>
      <w:r w:rsidRPr="00891729">
        <w:fldChar w:fldCharType="separate"/>
      </w:r>
      <w:r w:rsidRPr="00891729">
        <w:t>Figure 5-</w:t>
      </w:r>
      <w:r w:rsidRPr="00891729">
        <w:rPr>
          <w:noProof/>
        </w:rPr>
        <w:t>12</w:t>
      </w:r>
      <w:r w:rsidRPr="00891729">
        <w:fldChar w:fldCharType="end"/>
      </w:r>
      <w:r>
        <w:t xml:space="preserve">a. Once again, note the log scale the albedo used from OSIRIS was 0.79. It should be noted that increasing the albedo higher than the OSIRIS values does not greatly increase the aerosol extinction. A similar rerun was performed using the error in the zenith pointing discussed in section 5.2. The results of the alteration of the pointing can be seen in </w:t>
      </w:r>
      <w:r w:rsidRPr="004702F4">
        <w:fldChar w:fldCharType="begin"/>
      </w:r>
      <w:r w:rsidRPr="004702F4">
        <w:instrText xml:space="preserve"> REF _Ref435877839 \h  \* MERGEFORMAT </w:instrText>
      </w:r>
      <w:r w:rsidRPr="004702F4">
        <w:fldChar w:fldCharType="separate"/>
      </w:r>
      <w:r w:rsidRPr="004702F4">
        <w:t>Figure 5-</w:t>
      </w:r>
      <w:r w:rsidRPr="004702F4">
        <w:rPr>
          <w:noProof/>
        </w:rPr>
        <w:t>12</w:t>
      </w:r>
      <w:r w:rsidRPr="004702F4">
        <w:fldChar w:fldCharType="end"/>
      </w:r>
      <w:r>
        <w:t>b. From decreasing the zenith angle, the aerosol extinction is increased which could account for the discrepancies between the OSIRIS and ALI results at the 20 km range but moves the aerosol peak to a higher altitude causing a further discrepancy with OSIRIS. However, due to a lack of pointing information from the gondola this is the best estimation that could be performed. Furthermore, this is also the first polarized limb scatter retrieval to our knowledge and so there may be further issues to explore with the polarized measurement and forward model.  Regardless, the results are encouraging.</w:t>
      </w:r>
    </w:p>
    <w:p w:rsidR="004F3A7C" w:rsidRDefault="004F3A7C" w:rsidP="00395867">
      <w:pPr>
        <w:pStyle w:val="Heading2"/>
      </w:pPr>
      <w:bookmarkStart w:id="39" w:name="_Toc439680339"/>
      <w:r>
        <w:t>5.3.3 Particle Size Retrieval Methodology</w:t>
      </w:r>
      <w:bookmarkEnd w:id="39"/>
    </w:p>
    <w:p w:rsidR="004F3A7C" w:rsidRDefault="004F3A7C" w:rsidP="009E3AB6">
      <w:pPr>
        <w:pStyle w:val="BodyText"/>
        <w:jc w:val="both"/>
      </w:pPr>
      <w:r>
        <w:t xml:space="preserve"> Work done by </w:t>
      </w:r>
      <w:r w:rsidRPr="008D458D">
        <w:rPr>
          <w:i/>
        </w:rPr>
        <w:t>R</w:t>
      </w:r>
      <w:r>
        <w:rPr>
          <w:i/>
        </w:rPr>
        <w:t>ie</w:t>
      </w:r>
      <w:r w:rsidRPr="008D458D">
        <w:rPr>
          <w:i/>
        </w:rPr>
        <w:t>ger et al.</w:t>
      </w:r>
      <w:r>
        <w:t xml:space="preserve"> (2014) has shown that different particle size distributions can affect the aerosol measurement vector to yield some sensitivity. In his study, he uses an OSIRIS geometry and calculates the respective measurement vectors for a series of particle sizes which can be seen in </w:t>
      </w:r>
      <w:r>
        <w:fldChar w:fldCharType="begin"/>
      </w:r>
      <w:r>
        <w:instrText xml:space="preserve"> REF _Ref437456251 \h </w:instrText>
      </w:r>
      <w:r>
        <w:fldChar w:fldCharType="separate"/>
      </w:r>
      <w:r>
        <w:t>Figure 5-</w:t>
      </w:r>
      <w:r>
        <w:rPr>
          <w:noProof/>
        </w:rPr>
        <w:t>13</w:t>
      </w:r>
      <w:r>
        <w:fldChar w:fldCharType="end"/>
      </w:r>
      <w:r>
        <w:t>. In panel A, three different log-normal distributions are used to calculate the measurement vector using a simulated atmosphere through SASKTRAN. The three profiles are: a single fine mode particle size distribution with a mode radius and width of 0.08 µm and 1.6 respectively shown in blue, bimodal particle size distribution that simulates volcanic conditions with the mode radius and width of 0.08 µm and 1.6 for the fine mode and 0.4 µm and 1.2 for the coarse mode which is shown in black, and lastly red is a representative size distribution with mode radius and width of 77 µm and 1.75. Panel B shows the measurement vectors calculated with the three distributions across a series of wavelengths. The third panel, panel C, shows the difference of the measurement vectors compared to the bimodal distribution. Sensitivity to particle size is only seen past 800 nm measurements but great sensitivity does not occur until measurement is recorded out to 1200 nm. Furthermore, a 1% error in the radiance yields a relative error in the bimodal distribution measurement vector shown by the gray shading.</w:t>
      </w:r>
    </w:p>
    <w:p w:rsidR="004F3A7C" w:rsidRDefault="004F3A7C" w:rsidP="00F038D8">
      <w:pPr>
        <w:pStyle w:val="BodyText"/>
        <w:keepNext/>
        <w:ind w:firstLine="0"/>
      </w:pPr>
      <w:r>
        <w:rPr>
          <w:noProof/>
          <w:lang w:val="en-CA" w:eastAsia="en-CA"/>
        </w:rPr>
        <w:drawing>
          <wp:inline distT="0" distB="0" distL="0" distR="0" wp14:anchorId="1EA7501E" wp14:editId="13B95F13">
            <wp:extent cx="5903366" cy="2236899"/>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86" t="24483" r="2873" b="11892"/>
                    <a:stretch/>
                  </pic:blipFill>
                  <pic:spPr bwMode="auto">
                    <a:xfrm>
                      <a:off x="0" y="0"/>
                      <a:ext cx="5920426" cy="2243363"/>
                    </a:xfrm>
                    <a:prstGeom prst="rect">
                      <a:avLst/>
                    </a:prstGeom>
                    <a:ln>
                      <a:noFill/>
                    </a:ln>
                    <a:extLst>
                      <a:ext uri="{53640926-AAD7-44D8-BBD7-CCE9431645EC}">
                        <a14:shadowObscured xmlns:a14="http://schemas.microsoft.com/office/drawing/2010/main"/>
                      </a:ext>
                    </a:extLst>
                  </pic:spPr>
                </pic:pic>
              </a:graphicData>
            </a:graphic>
          </wp:inline>
        </w:drawing>
      </w:r>
    </w:p>
    <w:p w:rsidR="004F3A7C" w:rsidRDefault="004F3A7C" w:rsidP="00A66D86">
      <w:pPr>
        <w:pStyle w:val="Caption"/>
        <w:jc w:val="center"/>
      </w:pPr>
      <w:bookmarkStart w:id="40" w:name="_Ref437456251"/>
      <w:bookmarkStart w:id="41" w:name="_Toc439680471"/>
      <w:r w:rsidRPr="00F038D8">
        <w:rPr>
          <w:b/>
        </w:rPr>
        <w:t>Figure 5-</w:t>
      </w:r>
      <w:r w:rsidRPr="00F038D8">
        <w:rPr>
          <w:b/>
        </w:rPr>
        <w:fldChar w:fldCharType="begin"/>
      </w:r>
      <w:r w:rsidRPr="00F038D8">
        <w:rPr>
          <w:b/>
        </w:rPr>
        <w:instrText xml:space="preserve"> SEQ Figure \* ARABIC </w:instrText>
      </w:r>
      <w:r w:rsidRPr="00F038D8">
        <w:rPr>
          <w:b/>
        </w:rPr>
        <w:fldChar w:fldCharType="separate"/>
      </w:r>
      <w:r>
        <w:rPr>
          <w:b/>
          <w:noProof/>
        </w:rPr>
        <w:t>13</w:t>
      </w:r>
      <w:r w:rsidRPr="00F038D8">
        <w:rPr>
          <w:b/>
        </w:rPr>
        <w:fldChar w:fldCharType="end"/>
      </w:r>
      <w:bookmarkEnd w:id="40"/>
      <w:r w:rsidRPr="00F038D8">
        <w:rPr>
          <w:b/>
        </w:rPr>
        <w:t>:</w:t>
      </w:r>
      <w:r>
        <w:t xml:space="preserve"> Reproduced from Figure 4 of </w:t>
      </w:r>
      <w:r w:rsidRPr="00F038D8">
        <w:rPr>
          <w:i/>
        </w:rPr>
        <w:t>Rieger et al.</w:t>
      </w:r>
      <w:r>
        <w:t xml:space="preserve"> (2014). For OSIRIS scan 6432001 aerosol measurement vectors were calculated at 22.5 km. (A) The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bookmarkEnd w:id="41"/>
    </w:p>
    <w:p w:rsidR="004F3A7C" w:rsidRPr="00A66D86" w:rsidRDefault="004F3A7C" w:rsidP="00A66D86"/>
    <w:p w:rsidR="004F3A7C" w:rsidRDefault="004F3A7C" w:rsidP="005F1347">
      <w:pPr>
        <w:pStyle w:val="BodyText"/>
        <w:jc w:val="both"/>
      </w:pPr>
      <w:r>
        <w:t xml:space="preserve">For ALI, measurements were only gathered between 650 and 950 nm in wavelength, due to the low sensitivity of the CCD camera in the NIR. ALI only has sensitivity to particle size from the longer wavelengths and only a small amount. As such, it will not be possible to determine both the mode radius and mode width. Instead, the data from ALI will be used to determine an Angström exponent. The Angström exponent is an approximation to Mie scattering since the value of the Angström exponent, </w:t>
      </w:r>
      <m:oMath>
        <m:r>
          <w:rPr>
            <w:rFonts w:ascii="Cambria Math" w:hAnsi="Cambria Math"/>
          </w:rPr>
          <m:t>α</m:t>
        </m:r>
      </m:oMath>
      <w:r>
        <w:t xml:space="preserve">, is an analogy to particle size. The scattering cross section for aerosol is dependent on the particle size distribution since the number density must be a constant across wavelength, as such the extinction value changes with a change in cross section. From </w:t>
      </w:r>
    </w:p>
    <w:tbl>
      <w:tblPr>
        <w:tblStyle w:val="TableGrid"/>
        <w:tblW w:w="8050" w:type="dxa"/>
        <w:tblInd w:w="1418" w:type="dxa"/>
        <w:tblLook w:val="04A0" w:firstRow="1" w:lastRow="0" w:firstColumn="1" w:lastColumn="0" w:noHBand="0" w:noVBand="1"/>
      </w:tblPr>
      <w:tblGrid>
        <w:gridCol w:w="6804"/>
        <w:gridCol w:w="1246"/>
      </w:tblGrid>
      <w:tr w:rsidR="004F3A7C" w:rsidTr="00C500DC">
        <w:tc>
          <w:tcPr>
            <w:tcW w:w="6804" w:type="dxa"/>
            <w:tcBorders>
              <w:top w:val="nil"/>
              <w:left w:val="nil"/>
              <w:bottom w:val="nil"/>
              <w:right w:val="nil"/>
            </w:tcBorders>
          </w:tcPr>
          <w:p w:rsidR="004F3A7C" w:rsidRPr="00C40C6B" w:rsidRDefault="004F3A7C" w:rsidP="00B12AEA">
            <w:pPr>
              <w:pStyle w:val="BodyText"/>
              <w:ind w:firstLine="289"/>
              <w:jc w:val="right"/>
            </w:pPr>
            <m:oMathPara>
              <m:oMath>
                <m:f>
                  <m:fPr>
                    <m:ctrlPr>
                      <w:rPr>
                        <w:rFonts w:ascii="Cambria Math" w:hAnsi="Cambria Math"/>
                        <w:i/>
                      </w:rPr>
                    </m:ctrlPr>
                  </m:fPr>
                  <m:num>
                    <m:r>
                      <w:rPr>
                        <w:rFonts w:ascii="Cambria Math" w:hAnsi="Cambria Math"/>
                      </w:rPr>
                      <m:t>nσ</m:t>
                    </m:r>
                  </m:num>
                  <m:den>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e>
                    </m:d>
                  </m:e>
                  <m:sup>
                    <m:r>
                      <w:rPr>
                        <w:rFonts w:ascii="Cambria Math" w:hAnsi="Cambria Math"/>
                      </w:rPr>
                      <m:t>-α</m:t>
                    </m:r>
                  </m:sup>
                </m:sSup>
                <m:r>
                  <w:rPr>
                    <w:rFonts w:ascii="Cambria Math" w:hAnsi="Cambria Math"/>
                  </w:rPr>
                  <m:t>,</m:t>
                </m:r>
              </m:oMath>
            </m:oMathPara>
          </w:p>
        </w:tc>
        <w:tc>
          <w:tcPr>
            <w:tcW w:w="1246" w:type="dxa"/>
            <w:tcBorders>
              <w:top w:val="nil"/>
              <w:left w:val="nil"/>
              <w:bottom w:val="nil"/>
              <w:right w:val="nil"/>
            </w:tcBorders>
            <w:vAlign w:val="center"/>
          </w:tcPr>
          <w:p w:rsidR="004F3A7C" w:rsidRDefault="004F3A7C" w:rsidP="00B12AEA">
            <w:pPr>
              <w:pStyle w:val="BodyText"/>
              <w:ind w:firstLine="0"/>
              <w:jc w:val="right"/>
            </w:pPr>
            <w:r>
              <w:t>(5.14)</w:t>
            </w:r>
          </w:p>
        </w:tc>
      </w:tr>
    </w:tbl>
    <w:p w:rsidR="004F3A7C" w:rsidRDefault="004F3A7C" w:rsidP="00B12AEA">
      <w:pPr>
        <w:pStyle w:val="BodyText"/>
        <w:ind w:firstLine="0"/>
        <w:jc w:val="both"/>
      </w:pPr>
      <w:r>
        <w:t xml:space="preserve">the particle size profile from a series of wavelengths can be determined from the Angström exponent. Lower Angström exponents correspond to larger particle sizes and vice versa for small particle sizes.  The differences between extinction ratios at the different wavelengths can be used to gather an understanding of aerosol particle size in the form of Equation 5.14 where </w:t>
      </w:r>
      <m:oMath>
        <m:r>
          <w:rPr>
            <w:rFonts w:ascii="Cambria Math" w:hAnsi="Cambria Math"/>
          </w:rPr>
          <m:t>n</m:t>
        </m:r>
      </m:oMath>
      <w:r>
        <w:t xml:space="preserve"> is the aerosol concentration, and </w:t>
      </w:r>
      <m:oMath>
        <m:r>
          <w:rPr>
            <w:rFonts w:ascii="Cambria Math" w:hAnsi="Cambria Math"/>
          </w:rPr>
          <m:t>σ</m:t>
        </m:r>
      </m:oMath>
      <w:r>
        <w:t xml:space="preserve"> is the scattering cross section since the measurements observe relatively the same atmosphere over the time of one complete aerosol cycle. For the 750 nm wavelength, the Mie scattering cross section was calculated for a variety of mode radii and widths and a change in the cross section can be observed in </w:t>
      </w:r>
      <w:r w:rsidRPr="001D6561">
        <w:fldChar w:fldCharType="begin"/>
      </w:r>
      <w:r w:rsidRPr="001D6561">
        <w:instrText xml:space="preserve"> REF _Ref437458419 \h  \* MERGEFORMAT </w:instrText>
      </w:r>
      <w:r w:rsidRPr="001D6561">
        <w:fldChar w:fldCharType="separate"/>
      </w:r>
      <w:r w:rsidRPr="001D6561">
        <w:t>Figure 5-</w:t>
      </w:r>
      <w:r w:rsidRPr="001D6561">
        <w:rPr>
          <w:noProof/>
        </w:rPr>
        <w:t>14</w:t>
      </w:r>
      <w:r w:rsidRPr="001D6561">
        <w:fldChar w:fldCharType="end"/>
      </w:r>
      <w:r w:rsidRPr="001D6561">
        <w:t>.</w:t>
      </w:r>
      <w:r>
        <w:t xml:space="preserve"> </w:t>
      </w:r>
    </w:p>
    <w:p w:rsidR="004F3A7C" w:rsidRDefault="004F3A7C" w:rsidP="00A66D86">
      <w:pPr>
        <w:pStyle w:val="BodyText"/>
        <w:keepNext/>
        <w:ind w:firstLine="0"/>
        <w:jc w:val="center"/>
      </w:pPr>
      <w:r>
        <w:rPr>
          <w:noProof/>
          <w:lang w:val="en-CA" w:eastAsia="en-CA"/>
        </w:rPr>
        <w:drawing>
          <wp:inline distT="0" distB="0" distL="0" distR="0" wp14:anchorId="49811D04" wp14:editId="7942F65F">
            <wp:extent cx="5050434" cy="3255264"/>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CrossSectionDepend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4841" cy="3258104"/>
                    </a:xfrm>
                    <a:prstGeom prst="rect">
                      <a:avLst/>
                    </a:prstGeom>
                  </pic:spPr>
                </pic:pic>
              </a:graphicData>
            </a:graphic>
          </wp:inline>
        </w:drawing>
      </w:r>
    </w:p>
    <w:p w:rsidR="004F3A7C" w:rsidRDefault="004F3A7C" w:rsidP="00A66D86">
      <w:pPr>
        <w:pStyle w:val="Caption"/>
        <w:jc w:val="center"/>
      </w:pPr>
      <w:bookmarkStart w:id="42" w:name="_Ref437458419"/>
      <w:bookmarkStart w:id="43" w:name="_Toc439680472"/>
      <w:r w:rsidRPr="00A66D86">
        <w:rPr>
          <w:b/>
        </w:rPr>
        <w:t>Figure 5-</w:t>
      </w:r>
      <w:r w:rsidRPr="00A66D86">
        <w:rPr>
          <w:b/>
        </w:rPr>
        <w:fldChar w:fldCharType="begin"/>
      </w:r>
      <w:r w:rsidRPr="00A66D86">
        <w:rPr>
          <w:b/>
        </w:rPr>
        <w:instrText xml:space="preserve"> SEQ Figure \* ARABIC </w:instrText>
      </w:r>
      <w:r w:rsidRPr="00A66D86">
        <w:rPr>
          <w:b/>
        </w:rPr>
        <w:fldChar w:fldCharType="separate"/>
      </w:r>
      <w:r>
        <w:rPr>
          <w:b/>
          <w:noProof/>
        </w:rPr>
        <w:t>14</w:t>
      </w:r>
      <w:r w:rsidRPr="00A66D86">
        <w:rPr>
          <w:b/>
        </w:rPr>
        <w:fldChar w:fldCharType="end"/>
      </w:r>
      <w:bookmarkEnd w:id="42"/>
      <w:r w:rsidRPr="00A66D86">
        <w:rPr>
          <w:b/>
        </w:rPr>
        <w:t>:</w:t>
      </w:r>
      <w:r>
        <w:t xml:space="preserve"> Computed with the optical properties of the SASKTRAN engine. This variation of the cross section with respect to the mode radius and width allows for some determination of the particle size distribution through the Angström exponent.</w:t>
      </w:r>
      <w:bookmarkEnd w:id="43"/>
    </w:p>
    <w:p w:rsidR="004F3A7C" w:rsidRPr="00A66D86" w:rsidRDefault="004F3A7C" w:rsidP="00A66D86"/>
    <w:p w:rsidR="004F3A7C" w:rsidRDefault="004F3A7C" w:rsidP="005C75D2">
      <w:pPr>
        <w:pStyle w:val="BodyText"/>
        <w:jc w:val="both"/>
      </w:pPr>
      <w:r>
        <w:t>The Angström exponent can be determine by fitting a line through a series of spectral points by rearranging Equation 5.14 into the following</w:t>
      </w:r>
    </w:p>
    <w:tbl>
      <w:tblPr>
        <w:tblStyle w:val="TableGrid"/>
        <w:tblW w:w="8050" w:type="dxa"/>
        <w:tblInd w:w="1418" w:type="dxa"/>
        <w:tblLook w:val="04A0" w:firstRow="1" w:lastRow="0" w:firstColumn="1" w:lastColumn="0" w:noHBand="0" w:noVBand="1"/>
      </w:tblPr>
      <w:tblGrid>
        <w:gridCol w:w="6804"/>
        <w:gridCol w:w="1246"/>
      </w:tblGrid>
      <w:tr w:rsidR="004F3A7C" w:rsidTr="00C500DC">
        <w:tc>
          <w:tcPr>
            <w:tcW w:w="6804" w:type="dxa"/>
            <w:tcBorders>
              <w:top w:val="nil"/>
              <w:left w:val="nil"/>
              <w:bottom w:val="nil"/>
              <w:right w:val="nil"/>
            </w:tcBorders>
          </w:tcPr>
          <w:p w:rsidR="004F3A7C" w:rsidRPr="00DE6648" w:rsidRDefault="004F3A7C" w:rsidP="00DE6648">
            <w:pPr>
              <w:pStyle w:val="BodyText"/>
              <w:ind w:firstLine="289"/>
              <w:jc w:val="right"/>
              <w:rPr>
                <w:i/>
              </w:rPr>
            </w:pPr>
            <m:oMathPara>
              <m:oMath>
                <m:r>
                  <w:rPr>
                    <w:rFonts w:ascii="Cambria Math" w:hAnsi="Cambria Math"/>
                  </w:rPr>
                  <m:t>α= -</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nσ</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m:t>
                                </m:r>
                              </m:sub>
                            </m:sSub>
                            <m:sSub>
                              <m:sSubPr>
                                <m:ctrlPr>
                                  <w:rPr>
                                    <w:rFonts w:ascii="Cambria Math" w:hAnsi="Cambria Math"/>
                                    <w:i/>
                                  </w:rPr>
                                </m:ctrlPr>
                              </m:sSubPr>
                              <m:e>
                                <m:r>
                                  <w:rPr>
                                    <w:rFonts w:ascii="Cambria Math" w:hAnsi="Cambria Math"/>
                                  </w:rPr>
                                  <m:t>σ</m:t>
                                </m:r>
                              </m:e>
                              <m:sub>
                                <m:r>
                                  <w:rPr>
                                    <w:rFonts w:ascii="Cambria Math" w:hAnsi="Cambria Math"/>
                                  </w:rPr>
                                  <m:t>0</m:t>
                                </m:r>
                              </m:sub>
                            </m:sSub>
                          </m:e>
                        </m:d>
                      </m:e>
                    </m:func>
                  </m:num>
                  <m:den>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λ</m:t>
                            </m:r>
                          </m:e>
                        </m:d>
                      </m:e>
                    </m:func>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e>
                        </m:d>
                      </m:e>
                    </m:func>
                  </m:den>
                </m:f>
                <m:r>
                  <w:rPr>
                    <w:rFonts w:ascii="Cambria Math" w:hAnsi="Cambria Math"/>
                  </w:rPr>
                  <m:t>.</m:t>
                </m:r>
              </m:oMath>
            </m:oMathPara>
          </w:p>
        </w:tc>
        <w:tc>
          <w:tcPr>
            <w:tcW w:w="1246" w:type="dxa"/>
            <w:tcBorders>
              <w:top w:val="nil"/>
              <w:left w:val="nil"/>
              <w:bottom w:val="nil"/>
              <w:right w:val="nil"/>
            </w:tcBorders>
            <w:vAlign w:val="center"/>
          </w:tcPr>
          <w:p w:rsidR="004F3A7C" w:rsidRDefault="004F3A7C" w:rsidP="00DE6648">
            <w:pPr>
              <w:pStyle w:val="BodyText"/>
              <w:ind w:firstLine="0"/>
              <w:jc w:val="right"/>
            </w:pPr>
            <w:r>
              <w:t>(5.15)</w:t>
            </w:r>
          </w:p>
        </w:tc>
      </w:tr>
    </w:tbl>
    <w:p w:rsidR="004F3A7C" w:rsidRDefault="004F3A7C" w:rsidP="00E3749D">
      <w:pPr>
        <w:pStyle w:val="BodyText"/>
        <w:ind w:firstLine="0"/>
        <w:jc w:val="both"/>
      </w:pPr>
      <w:r>
        <w:t>The rearranging demonstrates that the Angström exponent is the simple slope of the log of the extinction over the log of the wavelengths.</w:t>
      </w:r>
    </w:p>
    <w:p w:rsidR="004F3A7C" w:rsidRDefault="004F3A7C" w:rsidP="00E3749D">
      <w:pPr>
        <w:pStyle w:val="BodyText"/>
        <w:jc w:val="both"/>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r w:rsidRPr="009E3AB6">
        <w:rPr>
          <w:i/>
        </w:rPr>
        <w:t>Rault and Loughman</w:t>
      </w:r>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using a least squares fit.  The slope of this line corresponds to the Angström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Angström exponent, corresponding to the determined mode radius, converges.</w:t>
      </w:r>
    </w:p>
    <w:p w:rsidR="004F3A7C" w:rsidRDefault="004F3A7C" w:rsidP="00B7041C">
      <w:pPr>
        <w:pStyle w:val="BodyText"/>
        <w:jc w:val="both"/>
      </w:pPr>
      <w:r>
        <w:t>A precision estimate was also required and since a least squares fit was used to determine the Angström exponent, the method to determine the error from the fit was also used. Assuming no uncertainty in the measurement points, the error in the slope is given by</w:t>
      </w:r>
    </w:p>
    <w:tbl>
      <w:tblPr>
        <w:tblStyle w:val="TableGrid"/>
        <w:tblW w:w="8050" w:type="dxa"/>
        <w:tblInd w:w="1418" w:type="dxa"/>
        <w:tblLook w:val="04A0" w:firstRow="1" w:lastRow="0" w:firstColumn="1" w:lastColumn="0" w:noHBand="0" w:noVBand="1"/>
      </w:tblPr>
      <w:tblGrid>
        <w:gridCol w:w="6804"/>
        <w:gridCol w:w="1246"/>
      </w:tblGrid>
      <w:tr w:rsidR="004F3A7C" w:rsidTr="00D674B9">
        <w:tc>
          <w:tcPr>
            <w:tcW w:w="6804" w:type="dxa"/>
            <w:tcBorders>
              <w:top w:val="nil"/>
              <w:left w:val="nil"/>
              <w:bottom w:val="nil"/>
              <w:right w:val="nil"/>
            </w:tcBorders>
          </w:tcPr>
          <w:p w:rsidR="004F3A7C" w:rsidRPr="00DE6648" w:rsidRDefault="004F3A7C" w:rsidP="00DB1708">
            <w:pPr>
              <w:pStyle w:val="BodyText"/>
              <w:ind w:firstLine="289"/>
              <w:jc w:val="right"/>
              <w:rPr>
                <w:i/>
              </w:rPr>
            </w:pPr>
            <m:oMathPara>
              <m:oMath>
                <m:r>
                  <w:rPr>
                    <w:rFonts w:ascii="Cambria Math" w:hAnsi="Cambria Math"/>
                  </w:rPr>
                  <m:t xml:space="preserve">δα= </m:t>
                </m:r>
                <m:f>
                  <m:fPr>
                    <m:ctrlPr>
                      <w:rPr>
                        <w:rFonts w:ascii="Cambria Math" w:hAnsi="Cambria Math"/>
                        <w:i/>
                      </w:rPr>
                    </m:ctrlPr>
                  </m:fPr>
                  <m:num>
                    <m:r>
                      <w:rPr>
                        <w:rFonts w:ascii="Cambria Math" w:hAnsi="Cambria Math"/>
                      </w:rPr>
                      <m:t>s</m:t>
                    </m:r>
                  </m:num>
                  <m:den>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oMath>
            </m:oMathPara>
          </w:p>
        </w:tc>
        <w:tc>
          <w:tcPr>
            <w:tcW w:w="1246" w:type="dxa"/>
            <w:tcBorders>
              <w:top w:val="nil"/>
              <w:left w:val="nil"/>
              <w:bottom w:val="nil"/>
              <w:right w:val="nil"/>
            </w:tcBorders>
            <w:vAlign w:val="center"/>
          </w:tcPr>
          <w:p w:rsidR="004F3A7C" w:rsidRDefault="004F3A7C" w:rsidP="00D674B9">
            <w:pPr>
              <w:pStyle w:val="BodyText"/>
              <w:ind w:firstLine="0"/>
              <w:jc w:val="right"/>
            </w:pPr>
            <w:r>
              <w:t>(5.16)</w:t>
            </w:r>
          </w:p>
        </w:tc>
      </w:tr>
    </w:tbl>
    <w:p w:rsidR="004F3A7C" w:rsidRDefault="004F3A7C" w:rsidP="00DB1708">
      <w:pPr>
        <w:pStyle w:val="BodyText"/>
        <w:ind w:firstLine="0"/>
      </w:pPr>
      <w:r>
        <w:t xml:space="preserve">where </w:t>
      </w:r>
      <m:oMath>
        <m:r>
          <w:rPr>
            <w:rFonts w:ascii="Cambria Math" w:hAnsi="Cambria Math"/>
          </w:rPr>
          <m:t>s</m:t>
        </m:r>
      </m:oMath>
      <w:r>
        <w:t xml:space="preserve"> is</w:t>
      </w:r>
    </w:p>
    <w:tbl>
      <w:tblPr>
        <w:tblStyle w:val="TableGrid"/>
        <w:tblW w:w="8050" w:type="dxa"/>
        <w:tblInd w:w="1418" w:type="dxa"/>
        <w:tblLook w:val="04A0" w:firstRow="1" w:lastRow="0" w:firstColumn="1" w:lastColumn="0" w:noHBand="0" w:noVBand="1"/>
      </w:tblPr>
      <w:tblGrid>
        <w:gridCol w:w="6804"/>
        <w:gridCol w:w="1246"/>
      </w:tblGrid>
      <w:tr w:rsidR="004F3A7C" w:rsidTr="00D674B9">
        <w:tc>
          <w:tcPr>
            <w:tcW w:w="6804" w:type="dxa"/>
            <w:tcBorders>
              <w:top w:val="nil"/>
              <w:left w:val="nil"/>
              <w:bottom w:val="nil"/>
              <w:right w:val="nil"/>
            </w:tcBorders>
          </w:tcPr>
          <w:p w:rsidR="004F3A7C" w:rsidRPr="00DE6648" w:rsidRDefault="004F3A7C" w:rsidP="00DB1708">
            <w:pPr>
              <w:pStyle w:val="BodyText"/>
              <w:ind w:firstLine="289"/>
              <w:jc w:val="right"/>
              <w:rPr>
                <w:i/>
              </w:rPr>
            </w:pPr>
            <m:oMathPara>
              <m:oMath>
                <m:r>
                  <w:rPr>
                    <w:rFonts w:ascii="Cambria Math" w:hAnsi="Cambria Math"/>
                  </w:rPr>
                  <m:t xml:space="preserve">s= </m:t>
                </m:r>
                <m:rad>
                  <m:radPr>
                    <m:degHide m:val="1"/>
                    <m:ctrlPr>
                      <w:rPr>
                        <w:rFonts w:ascii="Cambria Math" w:hAnsi="Cambria Math"/>
                        <w:i/>
                      </w:rPr>
                    </m:ctrlPr>
                  </m:radPr>
                  <m:deg/>
                  <m:e>
                    <m:f>
                      <m:fPr>
                        <m:ctrlPr>
                          <w:rPr>
                            <w:rFonts w:ascii="Cambria Math" w:hAnsi="Cambria Math"/>
                            <w:i/>
                          </w:rPr>
                        </m:ctrlPr>
                      </m:fPr>
                      <m:num>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-αS</m:t>
                        </m:r>
                        <m:sSub>
                          <m:sSubPr>
                            <m:ctrlPr>
                              <w:rPr>
                                <w:rFonts w:ascii="Cambria Math" w:hAnsi="Cambria Math"/>
                                <w:i/>
                              </w:rPr>
                            </m:ctrlPr>
                          </m:sSubPr>
                          <m:e>
                            <m:r>
                              <w:rPr>
                                <w:rFonts w:ascii="Cambria Math" w:hAnsi="Cambria Math"/>
                              </w:rPr>
                              <m:t>S</m:t>
                            </m:r>
                          </m:e>
                          <m:sub>
                            <m:r>
                              <w:rPr>
                                <w:rFonts w:ascii="Cambria Math" w:hAnsi="Cambria Math"/>
                              </w:rPr>
                              <m:t>xy</m:t>
                            </m:r>
                          </m:sub>
                        </m:sSub>
                      </m:num>
                      <m:den>
                        <m:r>
                          <w:rPr>
                            <w:rFonts w:ascii="Cambria Math" w:hAnsi="Cambria Math"/>
                          </w:rPr>
                          <m:t>n-2</m:t>
                        </m:r>
                      </m:den>
                    </m:f>
                  </m:e>
                </m:rad>
                <m:r>
                  <w:rPr>
                    <w:rFonts w:ascii="Cambria Math" w:hAnsi="Cambria Math"/>
                  </w:rPr>
                  <m:t>,</m:t>
                </m:r>
              </m:oMath>
            </m:oMathPara>
          </w:p>
        </w:tc>
        <w:tc>
          <w:tcPr>
            <w:tcW w:w="1246" w:type="dxa"/>
            <w:tcBorders>
              <w:top w:val="nil"/>
              <w:left w:val="nil"/>
              <w:bottom w:val="nil"/>
              <w:right w:val="nil"/>
            </w:tcBorders>
            <w:vAlign w:val="center"/>
          </w:tcPr>
          <w:p w:rsidR="004F3A7C" w:rsidRDefault="004F3A7C" w:rsidP="00DB1708">
            <w:pPr>
              <w:pStyle w:val="BodyText"/>
              <w:ind w:firstLine="0"/>
              <w:jc w:val="right"/>
            </w:pPr>
            <w:r>
              <w:t>(5.17)</w:t>
            </w:r>
          </w:p>
        </w:tc>
      </w:tr>
    </w:tbl>
    <w:p w:rsidR="004F3A7C" w:rsidRDefault="004F3A7C" w:rsidP="00E3749D">
      <w:pPr>
        <w:pStyle w:val="BodyText"/>
        <w:jc w:val="both"/>
      </w:pPr>
      <w:r>
        <w:t xml:space="preserve">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xx</m:t>
            </m:r>
          </m:sub>
        </m:sSub>
      </m:oMath>
      <w:r>
        <w:t xml:space="preserve">,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yy</m:t>
            </m:r>
          </m:sub>
        </m:sSub>
      </m:oMath>
      <w:r>
        <w:t xml:space="preserve">, and </w:t>
      </w:r>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xy</m:t>
            </m:r>
          </m:sub>
        </m:sSub>
      </m:oMath>
      <w:r>
        <w:t xml:space="preserve"> are the sum of squares of the wavelength, aerosol extinction, and cross term between the wavelength and aerosol extinction and </w:t>
      </w:r>
      <m:oMath>
        <m:r>
          <w:rPr>
            <w:rFonts w:ascii="Cambria Math" w:hAnsi="Cambria Math"/>
          </w:rPr>
          <m:t>n</m:t>
        </m:r>
      </m:oMath>
      <w:r>
        <w:t xml:space="preserve"> is the number of points. However, there is an associated error with each aerosol extinction profile as outlined in section 5.3.1. So to determine the precision of the Angström exponent, accounting for the uncertainty in the aerosol extinction, a Monte Carlo method was used. The uncertainty of the Angström exponent was calculated millions of times and for each calculation a random amount of the error from the known range was added to the extinction. Finally, the mean from all of the uncertainty calculations of all of the least squares fits was used as the precision estimate on the Angström exponent.</w:t>
      </w:r>
    </w:p>
    <w:p w:rsidR="004F3A7C" w:rsidRDefault="004F3A7C" w:rsidP="00395867">
      <w:pPr>
        <w:pStyle w:val="Heading2"/>
      </w:pPr>
      <w:bookmarkStart w:id="44" w:name="_Toc439680340"/>
      <w:r>
        <w:t>5.3.4 A Sample Particle Size Retrieval</w:t>
      </w:r>
      <w:bookmarkEnd w:id="44"/>
    </w:p>
    <w:p w:rsidR="004F3A7C" w:rsidRDefault="004F3A7C" w:rsidP="00D75E6E">
      <w:pPr>
        <w:pStyle w:val="BodyText"/>
        <w:jc w:val="both"/>
      </w:pPr>
      <w:r w:rsidRPr="00222E24">
        <w:t xml:space="preserve">The particle size method </w:t>
      </w:r>
      <w:r>
        <w:t>outlined above was also applied to this measurement set consisting of images 204 to 216</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rsidRPr="005606C3">
        <w:fldChar w:fldCharType="begin"/>
      </w:r>
      <w:r w:rsidRPr="005606C3">
        <w:instrText xml:space="preserve"> REF _Ref437539159 \h  \* MERGEFORMAT </w:instrText>
      </w:r>
      <w:r w:rsidRPr="005606C3">
        <w:fldChar w:fldCharType="separate"/>
      </w:r>
      <w:r w:rsidRPr="005606C3">
        <w:t>Figure 5-15</w:t>
      </w:r>
      <w:r w:rsidRPr="005606C3">
        <w:fldChar w:fldCharType="end"/>
      </w:r>
      <w:r w:rsidRPr="00222E24">
        <w:t>,</w:t>
      </w:r>
      <w:r>
        <w:t xml:space="preserve"> at</w:t>
      </w:r>
      <w:r w:rsidRPr="00222E24">
        <w:t xml:space="preserve"> the </w:t>
      </w:r>
      <w:r>
        <w:t>14</w:t>
      </w:r>
      <w:r w:rsidRPr="00222E24">
        <w:t>.5</w:t>
      </w:r>
      <w:r>
        <w:t>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rsidRPr="005606C3">
        <w:fldChar w:fldCharType="begin"/>
      </w:r>
      <w:r w:rsidRPr="005606C3">
        <w:instrText xml:space="preserve"> REF _Ref437539159 \h  \* MERGEFORMAT </w:instrText>
      </w:r>
      <w:r w:rsidRPr="005606C3">
        <w:fldChar w:fldCharType="separate"/>
      </w:r>
      <w:r w:rsidRPr="005606C3">
        <w:t>Figure 5-</w:t>
      </w:r>
      <w:r w:rsidRPr="005606C3">
        <w:rPr>
          <w:noProof/>
        </w:rPr>
        <w:t>15</w:t>
      </w:r>
      <w:r w:rsidRPr="005606C3">
        <w:fldChar w:fldCharType="end"/>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w:t>
      </w:r>
      <w:r w:rsidRPr="00222E24">
        <w:t>km.</w:t>
      </w:r>
      <w:r>
        <w:t xml:space="preserve">  </w:t>
      </w:r>
      <w:r w:rsidRPr="00222E24">
        <w:t>Assuming a mode width of 1.6 yields a median mode radius of 0.0</w:t>
      </w:r>
      <w:r>
        <w:t>77 µm</w:t>
      </w:r>
      <w:r w:rsidRPr="00222E24">
        <w:t>.</w:t>
      </w:r>
      <w:r>
        <w:t xml:space="preserve"> In comparison to typical levels of background aerosol from the </w:t>
      </w:r>
      <w:r w:rsidRPr="00307EE6">
        <w:t xml:space="preserve">Laramie, Wyoming </w:t>
      </w:r>
      <w:r>
        <w:t>OPC data (</w:t>
      </w:r>
      <w:r w:rsidRPr="00C500DC">
        <w:rPr>
          <w:i/>
        </w:rPr>
        <w:t>Deshler et al.</w:t>
      </w:r>
      <w:r>
        <w:t>,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r w:rsidRPr="005606C3">
        <w:rPr>
          <w:i/>
        </w:rPr>
        <w:t>Rieger et al.</w:t>
      </w:r>
      <w:r>
        <w:t>, 2014).</w:t>
      </w:r>
    </w:p>
    <w:p w:rsidR="004F3A7C" w:rsidRDefault="004F3A7C" w:rsidP="00D75E6E">
      <w:pPr>
        <w:pStyle w:val="BodyText"/>
        <w:keepNext/>
        <w:ind w:firstLine="0"/>
        <w:jc w:val="center"/>
      </w:pPr>
      <w:r>
        <w:rPr>
          <w:noProof/>
          <w:lang w:val="en-CA" w:eastAsia="en-CA"/>
        </w:rPr>
        <w:drawing>
          <wp:inline distT="0" distB="0" distL="0" distR="0" wp14:anchorId="18F28523" wp14:editId="2AEA557A">
            <wp:extent cx="2855112" cy="602694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ParticalSiz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2808" cy="6064295"/>
                    </a:xfrm>
                    <a:prstGeom prst="rect">
                      <a:avLst/>
                    </a:prstGeom>
                  </pic:spPr>
                </pic:pic>
              </a:graphicData>
            </a:graphic>
          </wp:inline>
        </w:drawing>
      </w:r>
    </w:p>
    <w:p w:rsidR="004F3A7C" w:rsidRDefault="004F3A7C" w:rsidP="005606C3">
      <w:pPr>
        <w:pStyle w:val="Caption"/>
        <w:jc w:val="center"/>
      </w:pPr>
      <w:bookmarkStart w:id="45" w:name="_Ref437539159"/>
      <w:bookmarkStart w:id="46" w:name="_Toc439680473"/>
      <w:r w:rsidRPr="00D75E6E">
        <w:rPr>
          <w:b/>
        </w:rPr>
        <w:t xml:space="preserve">Figure </w:t>
      </w:r>
      <w:r>
        <w:rPr>
          <w:b/>
        </w:rPr>
        <w:t>5</w:t>
      </w:r>
      <w:r w:rsidRPr="00D75E6E">
        <w:rPr>
          <w:b/>
        </w:rPr>
        <w:t>-</w:t>
      </w:r>
      <w:r w:rsidRPr="00D75E6E">
        <w:rPr>
          <w:b/>
        </w:rPr>
        <w:fldChar w:fldCharType="begin"/>
      </w:r>
      <w:r w:rsidRPr="00D75E6E">
        <w:rPr>
          <w:b/>
        </w:rPr>
        <w:instrText xml:space="preserve"> SEQ Figure \* ARABIC </w:instrText>
      </w:r>
      <w:r w:rsidRPr="00D75E6E">
        <w:rPr>
          <w:b/>
        </w:rPr>
        <w:fldChar w:fldCharType="separate"/>
      </w:r>
      <w:r>
        <w:rPr>
          <w:b/>
          <w:noProof/>
        </w:rPr>
        <w:t>15</w:t>
      </w:r>
      <w:r w:rsidRPr="00D75E6E">
        <w:rPr>
          <w:b/>
        </w:rPr>
        <w:fldChar w:fldCharType="end"/>
      </w:r>
      <w:bookmarkEnd w:id="45"/>
      <w:r w:rsidRPr="00D75E6E">
        <w:rPr>
          <w:b/>
        </w:rPr>
        <w:t>:</w:t>
      </w:r>
      <w:r>
        <w:t xml:space="preserve"> </w:t>
      </w:r>
      <w:r w:rsidRPr="00222E24">
        <w:t>The top panel shows the convergence of two</w:t>
      </w:r>
      <w:r>
        <w:t xml:space="preserve"> sample particle size retrievals</w:t>
      </w:r>
      <w:r w:rsidRPr="00222E24">
        <w:t>, blue and red represent an initial state of 0.08 and</w:t>
      </w:r>
      <w:r>
        <w:t xml:space="preserve"> </w:t>
      </w:r>
      <w:r w:rsidRPr="00222E24">
        <w:t>0.12</w:t>
      </w:r>
      <w:r>
        <w:t xml:space="preserve"> µm</w:t>
      </w:r>
      <w:r w:rsidRPr="00222E24">
        <w:t xml:space="preserve"> </w:t>
      </w:r>
      <w:r>
        <w:t xml:space="preserve">mode radius </w:t>
      </w:r>
      <w:r w:rsidRPr="00222E24">
        <w:t xml:space="preserve">respectively. Both initial states converge to the same value over approximately </w:t>
      </w:r>
      <w:r>
        <w:t>3</w:t>
      </w:r>
      <w:r w:rsidRPr="00222E24">
        <w:t xml:space="preserve"> iterations in the particle size retrieval method. The </w:t>
      </w:r>
      <w:r>
        <w:t>middle</w:t>
      </w:r>
      <w:r w:rsidRPr="00222E24">
        <w:t xml:space="preserve"> panel</w:t>
      </w:r>
      <w:r>
        <w:t xml:space="preserve"> shows</w:t>
      </w:r>
      <w:r w:rsidRPr="00222E24">
        <w:t xml:space="preserve"> the final Angstr</w:t>
      </w:r>
      <w:r>
        <w:t>ö</w:t>
      </w:r>
      <w:r w:rsidRPr="00222E24">
        <w:t>m exponents determined f</w:t>
      </w:r>
      <w:r>
        <w:t>rom</w:t>
      </w:r>
      <w:r w:rsidRPr="00222E24">
        <w:t xml:space="preserve"> images 204-216</w:t>
      </w:r>
      <w:r>
        <w:t>.</w:t>
      </w:r>
      <w:r w:rsidRPr="00222E24">
        <w:t xml:space="preserve"> </w:t>
      </w:r>
      <w:r>
        <w:t>T</w:t>
      </w:r>
      <w:r w:rsidRPr="00222E24">
        <w:t xml:space="preserve">he shading represents the error associated with the least squares fit. The </w:t>
      </w:r>
      <w:r>
        <w:t>bottom</w:t>
      </w:r>
      <w:r w:rsidRPr="00222E24">
        <w:t xml:space="preserve"> panel shows a typical least squares fit of the retrieved extinction values over wavelength to determine the Angstr</w:t>
      </w:r>
      <w:r>
        <w:t>ö</w:t>
      </w:r>
      <w:r w:rsidRPr="00222E24">
        <w:t xml:space="preserve">m exponent at model altitude of </w:t>
      </w:r>
      <w:r>
        <w:t>14</w:t>
      </w:r>
      <w:r w:rsidRPr="00222E24">
        <w:t>.5</w:t>
      </w:r>
      <w:r>
        <w:t xml:space="preserve"> km.</w:t>
      </w:r>
      <w:bookmarkEnd w:id="46"/>
    </w:p>
    <w:p w:rsidR="004F3A7C" w:rsidRPr="005606C3" w:rsidRDefault="004F3A7C" w:rsidP="005606C3"/>
    <w:p w:rsidR="004F3A7C" w:rsidRDefault="004F3A7C" w:rsidP="00395867">
      <w:pPr>
        <w:pStyle w:val="Heading1"/>
      </w:pPr>
      <w:bookmarkStart w:id="47" w:name="_Toc439680341"/>
      <w:r>
        <w:t>5.4 Results</w:t>
      </w:r>
      <w:bookmarkEnd w:id="47"/>
    </w:p>
    <w:p w:rsidR="004F3A7C" w:rsidRDefault="004F3A7C" w:rsidP="005606C3">
      <w:pPr>
        <w:spacing w:line="480" w:lineRule="auto"/>
        <w:ind w:firstLine="720"/>
        <w:jc w:val="both"/>
      </w:pPr>
      <w:r>
        <w:t xml:space="preserve">The </w:t>
      </w:r>
      <w:r w:rsidRPr="00222E24">
        <w:t xml:space="preserve">ALI </w:t>
      </w:r>
      <w:r>
        <w:t xml:space="preserve">prototype, which is a telescopic acousto-optic imager, has been used to </w:t>
      </w:r>
      <w:r w:rsidRPr="00222E24">
        <w:t>success</w:t>
      </w:r>
      <w:r>
        <w:t xml:space="preserve">fully measure two dimensional spectral images of the atmospheric limb from a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4F3A7C" w:rsidRPr="00395867" w:rsidRDefault="004F3A7C" w:rsidP="005606C3">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effective of albedo directly, as is done with OSIRIS.  This would remove</w:t>
      </w:r>
      <w:r w:rsidRPr="00222E24">
        <w:t xml:space="preserve"> some</w:t>
      </w:r>
      <w:r>
        <w:t xml:space="preserve"> of</w:t>
      </w:r>
      <w:r w:rsidRPr="00222E24">
        <w:t xml:space="preserv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t xml:space="preserve">obtained </w:t>
      </w:r>
      <w:r w:rsidRPr="00222E24">
        <w:t>images</w:t>
      </w:r>
      <w:r>
        <w:t>. Impact and mitigation of this should be tacked in future iterations of the instrument.</w:t>
      </w:r>
    </w:p>
    <w:p w:rsidR="004F3A7C" w:rsidRDefault="004F3A7C" w:rsidP="00395867">
      <w:pPr>
        <w:pStyle w:val="BodyText"/>
        <w:sectPr w:rsidR="004F3A7C" w:rsidSect="007E2ADC">
          <w:headerReference w:type="default" r:id="rId23"/>
          <w:footerReference w:type="first" r:id="rId24"/>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25"/>
      <w:footerReference w:type="first" r:id="rId26"/>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59C0" w:rsidRDefault="00FF59C0">
      <w:r>
        <w:separator/>
      </w:r>
    </w:p>
  </w:endnote>
  <w:endnote w:type="continuationSeparator" w:id="0">
    <w:p w:rsidR="00FF59C0" w:rsidRDefault="00FF5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A7C" w:rsidRDefault="004F3A7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116</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AD9" w:rsidRDefault="00A44AD9">
    <w:pPr>
      <w:pStyle w:val="Footer"/>
    </w:pPr>
    <w:r>
      <w:rPr>
        <w:rStyle w:val="PageNumber"/>
      </w:rPr>
      <w:fldChar w:fldCharType="begin"/>
    </w:r>
    <w:r>
      <w:rPr>
        <w:rStyle w:val="PageNumber"/>
      </w:rPr>
      <w:instrText xml:space="preserve"> PAGE </w:instrText>
    </w:r>
    <w:r>
      <w:rPr>
        <w:rStyle w:val="PageNumber"/>
      </w:rPr>
      <w:fldChar w:fldCharType="separate"/>
    </w:r>
    <w:r w:rsidR="00813929">
      <w:rPr>
        <w:rStyle w:val="PageNumber"/>
        <w:noProof/>
      </w:rPr>
      <w:t>32</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59C0" w:rsidRDefault="00FF59C0">
      <w:r>
        <w:separator/>
      </w:r>
    </w:p>
  </w:footnote>
  <w:footnote w:type="continuationSeparator" w:id="0">
    <w:p w:rsidR="00FF59C0" w:rsidRDefault="00FF59C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3A7C" w:rsidRDefault="004F3A7C">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146</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4AD9" w:rsidRDefault="00A44AD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1C63868"/>
    <w:multiLevelType w:val="hybridMultilevel"/>
    <w:tmpl w:val="54105CAC"/>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5" w15:restartNumberingAfterBreak="0">
    <w:nsid w:val="030212E7"/>
    <w:multiLevelType w:val="hybridMultilevel"/>
    <w:tmpl w:val="D10A005E"/>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7"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8"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C823158"/>
    <w:multiLevelType w:val="hybridMultilevel"/>
    <w:tmpl w:val="737E3F2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33AE59AA"/>
    <w:multiLevelType w:val="hybridMultilevel"/>
    <w:tmpl w:val="790AFE3C"/>
    <w:lvl w:ilvl="0" w:tplc="E828D896">
      <w:numFmt w:val="bullet"/>
      <w:lvlText w:val="•"/>
      <w:lvlJc w:val="left"/>
      <w:pPr>
        <w:ind w:left="1440" w:hanging="720"/>
      </w:pPr>
      <w:rPr>
        <w:rFonts w:ascii="Times New Roman" w:eastAsia="Times New Roma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12" w15:restartNumberingAfterBreak="0">
    <w:nsid w:val="434F7749"/>
    <w:multiLevelType w:val="singleLevel"/>
    <w:tmpl w:val="E3C6A00C"/>
    <w:lvl w:ilvl="0">
      <w:start w:val="1"/>
      <w:numFmt w:val="bullet"/>
      <w:pStyle w:val="List1"/>
      <w:lvlText w:val=""/>
      <w:lvlJc w:val="left"/>
      <w:pPr>
        <w:tabs>
          <w:tab w:val="num" w:pos="360"/>
        </w:tabs>
        <w:ind w:left="360" w:hanging="360"/>
      </w:pPr>
      <w:rPr>
        <w:rFonts w:ascii="Symbol" w:hAnsi="Symbol" w:hint="default"/>
      </w:rPr>
    </w:lvl>
  </w:abstractNum>
  <w:abstractNum w:abstractNumId="13"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14"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6"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7"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50759CC"/>
    <w:multiLevelType w:val="hybridMultilevel"/>
    <w:tmpl w:val="7984577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7DC24701"/>
    <w:multiLevelType w:val="hybridMultilevel"/>
    <w:tmpl w:val="4E42916A"/>
    <w:lvl w:ilvl="0" w:tplc="10090001">
      <w:start w:val="1"/>
      <w:numFmt w:val="bullet"/>
      <w:lvlText w:val=""/>
      <w:lvlJc w:val="left"/>
      <w:pPr>
        <w:ind w:left="1560" w:hanging="360"/>
      </w:pPr>
      <w:rPr>
        <w:rFonts w:ascii="Symbol" w:hAnsi="Symbol"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num w:numId="1">
    <w:abstractNumId w:val="17"/>
  </w:num>
  <w:num w:numId="2">
    <w:abstractNumId w:val="14"/>
  </w:num>
  <w:num w:numId="3">
    <w:abstractNumId w:val="1"/>
  </w:num>
  <w:num w:numId="4">
    <w:abstractNumId w:val="14"/>
  </w:num>
  <w:num w:numId="5">
    <w:abstractNumId w:val="11"/>
  </w:num>
  <w:num w:numId="6">
    <w:abstractNumId w:val="2"/>
  </w:num>
  <w:num w:numId="7">
    <w:abstractNumId w:val="3"/>
  </w:num>
  <w:num w:numId="8">
    <w:abstractNumId w:val="11"/>
    <w:lvlOverride w:ilvl="0">
      <w:startOverride w:val="1"/>
    </w:lvlOverride>
  </w:num>
  <w:num w:numId="9">
    <w:abstractNumId w:val="11"/>
    <w:lvlOverride w:ilvl="0">
      <w:startOverride w:val="1"/>
    </w:lvlOverride>
  </w:num>
  <w:num w:numId="10">
    <w:abstractNumId w:val="0"/>
  </w:num>
  <w:num w:numId="11">
    <w:abstractNumId w:val="8"/>
  </w:num>
  <w:num w:numId="12">
    <w:abstractNumId w:val="7"/>
  </w:num>
  <w:num w:numId="13">
    <w:abstractNumId w:val="7"/>
    <w:lvlOverride w:ilvl="0">
      <w:lvl w:ilvl="0">
        <w:start w:val="1"/>
        <w:numFmt w:val="decimal"/>
        <w:lvlText w:val="%1."/>
        <w:legacy w:legacy="1" w:legacySpace="0" w:legacyIndent="360"/>
        <w:lvlJc w:val="left"/>
        <w:pPr>
          <w:ind w:left="1080" w:hanging="360"/>
        </w:pPr>
      </w:lvl>
    </w:lvlOverride>
  </w:num>
  <w:num w:numId="14">
    <w:abstractNumId w:val="7"/>
    <w:lvlOverride w:ilvl="0">
      <w:lvl w:ilvl="0">
        <w:start w:val="1"/>
        <w:numFmt w:val="decimal"/>
        <w:lvlText w:val="%1."/>
        <w:legacy w:legacy="1" w:legacySpace="0" w:legacyIndent="360"/>
        <w:lvlJc w:val="left"/>
        <w:pPr>
          <w:ind w:left="1080" w:hanging="360"/>
        </w:pPr>
      </w:lvl>
    </w:lvlOverride>
  </w:num>
  <w:num w:numId="15">
    <w:abstractNumId w:val="7"/>
    <w:lvlOverride w:ilvl="0">
      <w:lvl w:ilvl="0">
        <w:start w:val="1"/>
        <w:numFmt w:val="decimal"/>
        <w:lvlText w:val="%1."/>
        <w:legacy w:legacy="1" w:legacySpace="0" w:legacyIndent="360"/>
        <w:lvlJc w:val="left"/>
        <w:pPr>
          <w:ind w:left="1080" w:hanging="360"/>
        </w:pPr>
      </w:lvl>
    </w:lvlOverride>
  </w:num>
  <w:num w:numId="16">
    <w:abstractNumId w:val="13"/>
  </w:num>
  <w:num w:numId="17">
    <w:abstractNumId w:val="13"/>
    <w:lvlOverride w:ilvl="0">
      <w:lvl w:ilvl="0">
        <w:start w:val="1"/>
        <w:numFmt w:val="decimal"/>
        <w:lvlText w:val="%1."/>
        <w:legacy w:legacy="1" w:legacySpace="0" w:legacyIndent="360"/>
        <w:lvlJc w:val="left"/>
        <w:pPr>
          <w:ind w:left="1080" w:hanging="360"/>
        </w:pPr>
      </w:lvl>
    </w:lvlOverride>
  </w:num>
  <w:num w:numId="18">
    <w:abstractNumId w:val="13"/>
    <w:lvlOverride w:ilvl="0">
      <w:lvl w:ilvl="0">
        <w:start w:val="1"/>
        <w:numFmt w:val="decimal"/>
        <w:lvlText w:val="%1."/>
        <w:legacy w:legacy="1" w:legacySpace="0" w:legacyIndent="360"/>
        <w:lvlJc w:val="left"/>
        <w:pPr>
          <w:ind w:left="1080" w:hanging="360"/>
        </w:pPr>
      </w:lvl>
    </w:lvlOverride>
  </w:num>
  <w:num w:numId="19">
    <w:abstractNumId w:val="13"/>
    <w:lvlOverride w:ilvl="0">
      <w:lvl w:ilvl="0">
        <w:start w:val="1"/>
        <w:numFmt w:val="decimal"/>
        <w:lvlText w:val="%1."/>
        <w:legacy w:legacy="1" w:legacySpace="0" w:legacyIndent="360"/>
        <w:lvlJc w:val="left"/>
        <w:pPr>
          <w:ind w:left="1080" w:hanging="360"/>
        </w:pPr>
      </w:lvl>
    </w:lvlOverride>
  </w:num>
  <w:num w:numId="20">
    <w:abstractNumId w:val="13"/>
    <w:lvlOverride w:ilvl="0">
      <w:lvl w:ilvl="0">
        <w:start w:val="1"/>
        <w:numFmt w:val="decimal"/>
        <w:lvlText w:val="%1."/>
        <w:legacy w:legacy="1" w:legacySpace="0" w:legacyIndent="360"/>
        <w:lvlJc w:val="left"/>
        <w:pPr>
          <w:ind w:left="1080" w:hanging="360"/>
        </w:pPr>
      </w:lvl>
    </w:lvlOverride>
  </w:num>
  <w:num w:numId="21">
    <w:abstractNumId w:val="13"/>
    <w:lvlOverride w:ilvl="0">
      <w:lvl w:ilvl="0">
        <w:start w:val="1"/>
        <w:numFmt w:val="decimal"/>
        <w:lvlText w:val="%1."/>
        <w:legacy w:legacy="1" w:legacySpace="0" w:legacyIndent="360"/>
        <w:lvlJc w:val="left"/>
        <w:pPr>
          <w:ind w:left="1080" w:hanging="360"/>
        </w:pPr>
      </w:lvl>
    </w:lvlOverride>
  </w:num>
  <w:num w:numId="22">
    <w:abstractNumId w:val="13"/>
    <w:lvlOverride w:ilvl="0">
      <w:lvl w:ilvl="0">
        <w:start w:val="1"/>
        <w:numFmt w:val="decimal"/>
        <w:lvlText w:val="%1."/>
        <w:legacy w:legacy="1" w:legacySpace="0" w:legacyIndent="360"/>
        <w:lvlJc w:val="left"/>
        <w:pPr>
          <w:ind w:left="1080" w:hanging="360"/>
        </w:pPr>
      </w:lvl>
    </w:lvlOverride>
  </w:num>
  <w:num w:numId="23">
    <w:abstractNumId w:val="13"/>
    <w:lvlOverride w:ilvl="0">
      <w:lvl w:ilvl="0">
        <w:start w:val="1"/>
        <w:numFmt w:val="decimal"/>
        <w:lvlText w:val="%1."/>
        <w:legacy w:legacy="1" w:legacySpace="0" w:legacyIndent="360"/>
        <w:lvlJc w:val="left"/>
        <w:pPr>
          <w:ind w:left="1080" w:hanging="360"/>
        </w:pPr>
      </w:lvl>
    </w:lvlOverride>
  </w:num>
  <w:num w:numId="24">
    <w:abstractNumId w:val="7"/>
    <w:lvlOverride w:ilvl="0">
      <w:lvl w:ilvl="0">
        <w:start w:val="1"/>
        <w:numFmt w:val="decimal"/>
        <w:lvlText w:val="%1."/>
        <w:legacy w:legacy="1" w:legacySpace="0" w:legacyIndent="360"/>
        <w:lvlJc w:val="left"/>
        <w:pPr>
          <w:ind w:left="1080" w:hanging="360"/>
        </w:pPr>
      </w:lvl>
    </w:lvlOverride>
  </w:num>
  <w:num w:numId="25">
    <w:abstractNumId w:val="7"/>
    <w:lvlOverride w:ilvl="0">
      <w:lvl w:ilvl="0">
        <w:start w:val="1"/>
        <w:numFmt w:val="decimal"/>
        <w:lvlText w:val="%1."/>
        <w:legacy w:legacy="1" w:legacySpace="0" w:legacyIndent="360"/>
        <w:lvlJc w:val="left"/>
        <w:pPr>
          <w:ind w:left="1080" w:hanging="360"/>
        </w:pPr>
      </w:lvl>
    </w:lvlOverride>
  </w:num>
  <w:num w:numId="26">
    <w:abstractNumId w:val="7"/>
    <w:lvlOverride w:ilvl="0">
      <w:lvl w:ilvl="0">
        <w:start w:val="1"/>
        <w:numFmt w:val="decimal"/>
        <w:lvlText w:val="%1."/>
        <w:legacy w:legacy="1" w:legacySpace="0" w:legacyIndent="360"/>
        <w:lvlJc w:val="left"/>
        <w:pPr>
          <w:ind w:left="1080" w:hanging="360"/>
        </w:pPr>
      </w:lvl>
    </w:lvlOverride>
  </w:num>
  <w:num w:numId="27">
    <w:abstractNumId w:val="13"/>
    <w:lvlOverride w:ilvl="0">
      <w:lvl w:ilvl="0">
        <w:start w:val="1"/>
        <w:numFmt w:val="decimal"/>
        <w:lvlText w:val="%1."/>
        <w:legacy w:legacy="1" w:legacySpace="0" w:legacyIndent="360"/>
        <w:lvlJc w:val="left"/>
        <w:pPr>
          <w:ind w:left="1080" w:hanging="360"/>
        </w:pPr>
      </w:lvl>
    </w:lvlOverride>
  </w:num>
  <w:num w:numId="28">
    <w:abstractNumId w:val="13"/>
    <w:lvlOverride w:ilvl="0">
      <w:lvl w:ilvl="0">
        <w:start w:val="1"/>
        <w:numFmt w:val="decimal"/>
        <w:lvlText w:val="%1."/>
        <w:legacy w:legacy="1" w:legacySpace="0" w:legacyIndent="360"/>
        <w:lvlJc w:val="left"/>
        <w:pPr>
          <w:ind w:left="1080" w:hanging="360"/>
        </w:pPr>
      </w:lvl>
    </w:lvlOverride>
  </w:num>
  <w:num w:numId="29">
    <w:abstractNumId w:val="13"/>
    <w:lvlOverride w:ilvl="0">
      <w:lvl w:ilvl="0">
        <w:start w:val="1"/>
        <w:numFmt w:val="decimal"/>
        <w:lvlText w:val="%1."/>
        <w:legacy w:legacy="1" w:legacySpace="0" w:legacyIndent="360"/>
        <w:lvlJc w:val="left"/>
        <w:pPr>
          <w:ind w:left="1080" w:hanging="360"/>
        </w:pPr>
      </w:lvl>
    </w:lvlOverride>
  </w:num>
  <w:num w:numId="30">
    <w:abstractNumId w:val="13"/>
    <w:lvlOverride w:ilvl="0">
      <w:lvl w:ilvl="0">
        <w:start w:val="1"/>
        <w:numFmt w:val="decimal"/>
        <w:lvlText w:val="%1."/>
        <w:legacy w:legacy="1" w:legacySpace="0" w:legacyIndent="360"/>
        <w:lvlJc w:val="left"/>
        <w:pPr>
          <w:ind w:left="1080" w:hanging="360"/>
        </w:pPr>
      </w:lvl>
    </w:lvlOverride>
  </w:num>
  <w:num w:numId="31">
    <w:abstractNumId w:val="13"/>
    <w:lvlOverride w:ilvl="0">
      <w:lvl w:ilvl="0">
        <w:start w:val="1"/>
        <w:numFmt w:val="decimal"/>
        <w:lvlText w:val="%1."/>
        <w:legacy w:legacy="1" w:legacySpace="0" w:legacyIndent="360"/>
        <w:lvlJc w:val="left"/>
        <w:pPr>
          <w:ind w:left="1080" w:hanging="360"/>
        </w:pPr>
      </w:lvl>
    </w:lvlOverride>
  </w:num>
  <w:num w:numId="32">
    <w:abstractNumId w:val="13"/>
    <w:lvlOverride w:ilvl="0">
      <w:lvl w:ilvl="0">
        <w:start w:val="1"/>
        <w:numFmt w:val="decimal"/>
        <w:lvlText w:val="%1."/>
        <w:legacy w:legacy="1" w:legacySpace="0" w:legacyIndent="360"/>
        <w:lvlJc w:val="left"/>
        <w:pPr>
          <w:ind w:left="1080" w:hanging="360"/>
        </w:pPr>
      </w:lvl>
    </w:lvlOverride>
  </w:num>
  <w:num w:numId="33">
    <w:abstractNumId w:val="13"/>
    <w:lvlOverride w:ilvl="0">
      <w:lvl w:ilvl="0">
        <w:start w:val="1"/>
        <w:numFmt w:val="decimal"/>
        <w:lvlText w:val="%1."/>
        <w:legacy w:legacy="1" w:legacySpace="0" w:legacyIndent="360"/>
        <w:lvlJc w:val="left"/>
        <w:pPr>
          <w:ind w:left="1080" w:hanging="360"/>
        </w:pPr>
      </w:lvl>
    </w:lvlOverride>
  </w:num>
  <w:num w:numId="34">
    <w:abstractNumId w:val="7"/>
    <w:lvlOverride w:ilvl="0">
      <w:lvl w:ilvl="0">
        <w:start w:val="1"/>
        <w:numFmt w:val="decimal"/>
        <w:lvlText w:val="%1."/>
        <w:legacy w:legacy="1" w:legacySpace="0" w:legacyIndent="360"/>
        <w:lvlJc w:val="left"/>
        <w:pPr>
          <w:ind w:left="1080" w:hanging="360"/>
        </w:pPr>
      </w:lvl>
    </w:lvlOverride>
  </w:num>
  <w:num w:numId="35">
    <w:abstractNumId w:val="13"/>
    <w:lvlOverride w:ilvl="0">
      <w:lvl w:ilvl="0">
        <w:start w:val="1"/>
        <w:numFmt w:val="decimal"/>
        <w:lvlText w:val="%1."/>
        <w:legacy w:legacy="1" w:legacySpace="0" w:legacyIndent="360"/>
        <w:lvlJc w:val="left"/>
        <w:pPr>
          <w:ind w:left="1080" w:hanging="360"/>
        </w:pPr>
      </w:lvl>
    </w:lvlOverride>
  </w:num>
  <w:num w:numId="36">
    <w:abstractNumId w:val="7"/>
    <w:lvlOverride w:ilvl="0">
      <w:lvl w:ilvl="0">
        <w:start w:val="1"/>
        <w:numFmt w:val="decimal"/>
        <w:lvlText w:val="%1."/>
        <w:legacy w:legacy="1" w:legacySpace="0" w:legacyIndent="360"/>
        <w:lvlJc w:val="left"/>
        <w:pPr>
          <w:ind w:left="1080" w:hanging="360"/>
        </w:pPr>
      </w:lvl>
    </w:lvlOverride>
  </w:num>
  <w:num w:numId="37">
    <w:abstractNumId w:val="13"/>
    <w:lvlOverride w:ilvl="0">
      <w:lvl w:ilvl="0">
        <w:start w:val="1"/>
        <w:numFmt w:val="decimal"/>
        <w:lvlText w:val="%1."/>
        <w:legacy w:legacy="1" w:legacySpace="0" w:legacyIndent="360"/>
        <w:lvlJc w:val="left"/>
        <w:pPr>
          <w:ind w:left="1080" w:hanging="360"/>
        </w:pPr>
      </w:lvl>
    </w:lvlOverride>
  </w:num>
  <w:num w:numId="38">
    <w:abstractNumId w:val="15"/>
    <w:lvlOverride w:ilvl="0">
      <w:lvl w:ilvl="0">
        <w:start w:val="1"/>
        <w:numFmt w:val="decimal"/>
        <w:lvlText w:val="%1."/>
        <w:legacy w:legacy="1" w:legacySpace="0" w:legacyIndent="360"/>
        <w:lvlJc w:val="left"/>
        <w:pPr>
          <w:ind w:left="1080" w:hanging="360"/>
        </w:pPr>
      </w:lvl>
    </w:lvlOverride>
  </w:num>
  <w:num w:numId="39">
    <w:abstractNumId w:val="16"/>
  </w:num>
  <w:num w:numId="40">
    <w:abstractNumId w:val="6"/>
  </w:num>
  <w:num w:numId="41">
    <w:abstractNumId w:val="12"/>
  </w:num>
  <w:num w:numId="42">
    <w:abstractNumId w:val="18"/>
  </w:num>
  <w:num w:numId="43">
    <w:abstractNumId w:val="9"/>
  </w:num>
  <w:num w:numId="44">
    <w:abstractNumId w:val="19"/>
  </w:num>
  <w:num w:numId="45">
    <w:abstractNumId w:val="5"/>
  </w:num>
  <w:num w:numId="46">
    <w:abstractNumId w:val="10"/>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66807"/>
    <w:rsid w:val="00081150"/>
    <w:rsid w:val="00085A94"/>
    <w:rsid w:val="000921FA"/>
    <w:rsid w:val="000A4134"/>
    <w:rsid w:val="000A4DF8"/>
    <w:rsid w:val="000A6D22"/>
    <w:rsid w:val="000B10B1"/>
    <w:rsid w:val="000B4417"/>
    <w:rsid w:val="000B76FB"/>
    <w:rsid w:val="000E4898"/>
    <w:rsid w:val="000E75D4"/>
    <w:rsid w:val="00100A4E"/>
    <w:rsid w:val="00107A09"/>
    <w:rsid w:val="00127771"/>
    <w:rsid w:val="00152F8F"/>
    <w:rsid w:val="00160C26"/>
    <w:rsid w:val="001837A4"/>
    <w:rsid w:val="001A1A60"/>
    <w:rsid w:val="001A3348"/>
    <w:rsid w:val="001B22B0"/>
    <w:rsid w:val="001C7FAA"/>
    <w:rsid w:val="001D1577"/>
    <w:rsid w:val="001D40D3"/>
    <w:rsid w:val="001D6561"/>
    <w:rsid w:val="001D7F8A"/>
    <w:rsid w:val="001E059B"/>
    <w:rsid w:val="001E3A85"/>
    <w:rsid w:val="001F3E0D"/>
    <w:rsid w:val="002153BB"/>
    <w:rsid w:val="00224693"/>
    <w:rsid w:val="00232F9E"/>
    <w:rsid w:val="002422F5"/>
    <w:rsid w:val="002534DD"/>
    <w:rsid w:val="0025439D"/>
    <w:rsid w:val="00282137"/>
    <w:rsid w:val="0028482A"/>
    <w:rsid w:val="00286BE8"/>
    <w:rsid w:val="00292AD8"/>
    <w:rsid w:val="00293638"/>
    <w:rsid w:val="002B085C"/>
    <w:rsid w:val="002B150E"/>
    <w:rsid w:val="002E2D3F"/>
    <w:rsid w:val="002F1C15"/>
    <w:rsid w:val="002F3EF4"/>
    <w:rsid w:val="002F6249"/>
    <w:rsid w:val="00305B19"/>
    <w:rsid w:val="003154F4"/>
    <w:rsid w:val="003439E1"/>
    <w:rsid w:val="00343AAE"/>
    <w:rsid w:val="00347988"/>
    <w:rsid w:val="0035256E"/>
    <w:rsid w:val="0035760E"/>
    <w:rsid w:val="00375F45"/>
    <w:rsid w:val="00380F36"/>
    <w:rsid w:val="003831BB"/>
    <w:rsid w:val="00395867"/>
    <w:rsid w:val="003A2911"/>
    <w:rsid w:val="003D11DD"/>
    <w:rsid w:val="003D7472"/>
    <w:rsid w:val="003E44CB"/>
    <w:rsid w:val="003F54F5"/>
    <w:rsid w:val="00404613"/>
    <w:rsid w:val="00432C96"/>
    <w:rsid w:val="00450CAC"/>
    <w:rsid w:val="00451BF6"/>
    <w:rsid w:val="004702F4"/>
    <w:rsid w:val="004935AD"/>
    <w:rsid w:val="004A1F42"/>
    <w:rsid w:val="004D479A"/>
    <w:rsid w:val="004D7FED"/>
    <w:rsid w:val="004E1D37"/>
    <w:rsid w:val="004E4BD6"/>
    <w:rsid w:val="004E58EC"/>
    <w:rsid w:val="004F3A7C"/>
    <w:rsid w:val="00550DAD"/>
    <w:rsid w:val="005606C3"/>
    <w:rsid w:val="00563BF8"/>
    <w:rsid w:val="00590655"/>
    <w:rsid w:val="00595777"/>
    <w:rsid w:val="005B755D"/>
    <w:rsid w:val="005C75D2"/>
    <w:rsid w:val="005E5BCC"/>
    <w:rsid w:val="005F1347"/>
    <w:rsid w:val="00604F05"/>
    <w:rsid w:val="00621860"/>
    <w:rsid w:val="00627E31"/>
    <w:rsid w:val="00630AA1"/>
    <w:rsid w:val="0064352E"/>
    <w:rsid w:val="006B03E2"/>
    <w:rsid w:val="006B5E7C"/>
    <w:rsid w:val="006B708C"/>
    <w:rsid w:val="006C43D1"/>
    <w:rsid w:val="006E0CE1"/>
    <w:rsid w:val="006F26BE"/>
    <w:rsid w:val="006F52F6"/>
    <w:rsid w:val="0071354A"/>
    <w:rsid w:val="00751102"/>
    <w:rsid w:val="00784CED"/>
    <w:rsid w:val="00793FC3"/>
    <w:rsid w:val="00796578"/>
    <w:rsid w:val="007A4E1D"/>
    <w:rsid w:val="007B7ECD"/>
    <w:rsid w:val="007C6474"/>
    <w:rsid w:val="007C6C0E"/>
    <w:rsid w:val="007D09E8"/>
    <w:rsid w:val="007E2ADC"/>
    <w:rsid w:val="007E3A08"/>
    <w:rsid w:val="007E5FE5"/>
    <w:rsid w:val="008043D0"/>
    <w:rsid w:val="00813314"/>
    <w:rsid w:val="00813929"/>
    <w:rsid w:val="008359F9"/>
    <w:rsid w:val="0085229E"/>
    <w:rsid w:val="00852B19"/>
    <w:rsid w:val="00853EC2"/>
    <w:rsid w:val="008545F8"/>
    <w:rsid w:val="00862881"/>
    <w:rsid w:val="00866A08"/>
    <w:rsid w:val="00882F23"/>
    <w:rsid w:val="00891729"/>
    <w:rsid w:val="008D458D"/>
    <w:rsid w:val="008E015F"/>
    <w:rsid w:val="00901785"/>
    <w:rsid w:val="0090199B"/>
    <w:rsid w:val="00914979"/>
    <w:rsid w:val="009209E4"/>
    <w:rsid w:val="00926ABD"/>
    <w:rsid w:val="00931E05"/>
    <w:rsid w:val="00933DB1"/>
    <w:rsid w:val="00946035"/>
    <w:rsid w:val="0094787D"/>
    <w:rsid w:val="00954377"/>
    <w:rsid w:val="00960C5C"/>
    <w:rsid w:val="00961690"/>
    <w:rsid w:val="0096283B"/>
    <w:rsid w:val="00970687"/>
    <w:rsid w:val="009718A5"/>
    <w:rsid w:val="00975A2C"/>
    <w:rsid w:val="009A7A57"/>
    <w:rsid w:val="009B68DA"/>
    <w:rsid w:val="009D786C"/>
    <w:rsid w:val="009E3AB6"/>
    <w:rsid w:val="009E7189"/>
    <w:rsid w:val="009F05B9"/>
    <w:rsid w:val="009F3EE8"/>
    <w:rsid w:val="00A11105"/>
    <w:rsid w:val="00A2218B"/>
    <w:rsid w:val="00A25D0C"/>
    <w:rsid w:val="00A27E22"/>
    <w:rsid w:val="00A365E7"/>
    <w:rsid w:val="00A36F69"/>
    <w:rsid w:val="00A404F3"/>
    <w:rsid w:val="00A422BD"/>
    <w:rsid w:val="00A432B3"/>
    <w:rsid w:val="00A44AD9"/>
    <w:rsid w:val="00A6500D"/>
    <w:rsid w:val="00A66D86"/>
    <w:rsid w:val="00A747D1"/>
    <w:rsid w:val="00A81D55"/>
    <w:rsid w:val="00A9480C"/>
    <w:rsid w:val="00A95F7B"/>
    <w:rsid w:val="00AB2010"/>
    <w:rsid w:val="00AC0D69"/>
    <w:rsid w:val="00AD56B6"/>
    <w:rsid w:val="00AE09C4"/>
    <w:rsid w:val="00AE4782"/>
    <w:rsid w:val="00AF0528"/>
    <w:rsid w:val="00AF395D"/>
    <w:rsid w:val="00B101D6"/>
    <w:rsid w:val="00B10302"/>
    <w:rsid w:val="00B12AEA"/>
    <w:rsid w:val="00B13F82"/>
    <w:rsid w:val="00B43245"/>
    <w:rsid w:val="00B54ABB"/>
    <w:rsid w:val="00B62416"/>
    <w:rsid w:val="00B661D8"/>
    <w:rsid w:val="00B7041C"/>
    <w:rsid w:val="00B73D80"/>
    <w:rsid w:val="00BA0898"/>
    <w:rsid w:val="00BB608B"/>
    <w:rsid w:val="00BB7972"/>
    <w:rsid w:val="00BC0948"/>
    <w:rsid w:val="00BD1AA9"/>
    <w:rsid w:val="00BF4C14"/>
    <w:rsid w:val="00C15D29"/>
    <w:rsid w:val="00C31226"/>
    <w:rsid w:val="00C500DC"/>
    <w:rsid w:val="00C76EA9"/>
    <w:rsid w:val="00C91751"/>
    <w:rsid w:val="00C922A2"/>
    <w:rsid w:val="00CB094C"/>
    <w:rsid w:val="00CB2E74"/>
    <w:rsid w:val="00CC09BC"/>
    <w:rsid w:val="00CD3D90"/>
    <w:rsid w:val="00D24EFC"/>
    <w:rsid w:val="00D5185E"/>
    <w:rsid w:val="00D674B9"/>
    <w:rsid w:val="00D75E6E"/>
    <w:rsid w:val="00D85B74"/>
    <w:rsid w:val="00DA14A8"/>
    <w:rsid w:val="00DB1708"/>
    <w:rsid w:val="00DC14B9"/>
    <w:rsid w:val="00DC1A98"/>
    <w:rsid w:val="00DC5538"/>
    <w:rsid w:val="00DC7074"/>
    <w:rsid w:val="00DD0EEF"/>
    <w:rsid w:val="00DD3BAD"/>
    <w:rsid w:val="00DE6648"/>
    <w:rsid w:val="00E15801"/>
    <w:rsid w:val="00E27011"/>
    <w:rsid w:val="00E3659C"/>
    <w:rsid w:val="00E3749D"/>
    <w:rsid w:val="00E66EE0"/>
    <w:rsid w:val="00E769AC"/>
    <w:rsid w:val="00EA3586"/>
    <w:rsid w:val="00EB5A2B"/>
    <w:rsid w:val="00EC081B"/>
    <w:rsid w:val="00EC250F"/>
    <w:rsid w:val="00ED6DE1"/>
    <w:rsid w:val="00EF6254"/>
    <w:rsid w:val="00F038D8"/>
    <w:rsid w:val="00F117A6"/>
    <w:rsid w:val="00F12987"/>
    <w:rsid w:val="00F16917"/>
    <w:rsid w:val="00F472EE"/>
    <w:rsid w:val="00F5289C"/>
    <w:rsid w:val="00F62662"/>
    <w:rsid w:val="00F809AA"/>
    <w:rsid w:val="00F8182C"/>
    <w:rsid w:val="00F8261E"/>
    <w:rsid w:val="00F91C97"/>
    <w:rsid w:val="00FA4DAA"/>
    <w:rsid w:val="00FC3224"/>
    <w:rsid w:val="00FC7595"/>
    <w:rsid w:val="00FE1C10"/>
    <w:rsid w:val="00FE362A"/>
    <w:rsid w:val="00FF59C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link w:val="Heading3Char"/>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link w:val="FootnoteTextChar"/>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 w:type="paragraph" w:customStyle="1" w:styleId="Reference1">
    <w:name w:val="Reference 1"/>
    <w:basedOn w:val="Normal"/>
    <w:rsid w:val="006B5E7C"/>
    <w:pPr>
      <w:ind w:left="720" w:hanging="720"/>
    </w:pPr>
  </w:style>
  <w:style w:type="paragraph" w:customStyle="1" w:styleId="Reference2">
    <w:name w:val="Reference 2"/>
    <w:basedOn w:val="Normal"/>
    <w:rsid w:val="006B5E7C"/>
    <w:pPr>
      <w:tabs>
        <w:tab w:val="left" w:pos="1440"/>
      </w:tabs>
      <w:ind w:left="1440" w:hanging="1440"/>
    </w:pPr>
  </w:style>
  <w:style w:type="paragraph" w:customStyle="1" w:styleId="Reference3">
    <w:name w:val="Reference 3"/>
    <w:basedOn w:val="Normal"/>
    <w:rsid w:val="006B5E7C"/>
    <w:pPr>
      <w:tabs>
        <w:tab w:val="left" w:pos="540"/>
      </w:tabs>
      <w:ind w:left="540" w:hanging="540"/>
    </w:pPr>
  </w:style>
  <w:style w:type="paragraph" w:customStyle="1" w:styleId="TableCaption">
    <w:name w:val="Table Caption"/>
    <w:basedOn w:val="Caption"/>
    <w:next w:val="Normal"/>
    <w:rsid w:val="006B5E7C"/>
    <w:pPr>
      <w:spacing w:before="480"/>
      <w:jc w:val="both"/>
    </w:pPr>
  </w:style>
  <w:style w:type="paragraph" w:customStyle="1" w:styleId="BodyTextNoIndent0">
    <w:name w:val="Body Text: No Indent"/>
    <w:basedOn w:val="BodyText"/>
    <w:next w:val="BodyText"/>
    <w:rsid w:val="006B5E7C"/>
    <w:pPr>
      <w:spacing w:after="240"/>
      <w:ind w:firstLine="0"/>
    </w:pPr>
  </w:style>
  <w:style w:type="paragraph" w:customStyle="1" w:styleId="Spacer">
    <w:name w:val="Spacer"/>
    <w:basedOn w:val="Normal"/>
    <w:rsid w:val="006B5E7C"/>
    <w:pPr>
      <w:spacing w:after="1160"/>
    </w:pPr>
  </w:style>
  <w:style w:type="paragraph" w:customStyle="1" w:styleId="List1">
    <w:name w:val="List1"/>
    <w:basedOn w:val="BodyText"/>
    <w:rsid w:val="006B5E7C"/>
    <w:pPr>
      <w:numPr>
        <w:numId w:val="41"/>
      </w:numPr>
      <w:tabs>
        <w:tab w:val="clear" w:pos="360"/>
        <w:tab w:val="num" w:pos="1080"/>
      </w:tabs>
      <w:spacing w:after="240"/>
      <w:ind w:left="1080"/>
    </w:pPr>
  </w:style>
  <w:style w:type="paragraph" w:customStyle="1" w:styleId="BlockQuote">
    <w:name w:val="Block Quote"/>
    <w:basedOn w:val="Normal"/>
    <w:next w:val="BodyText"/>
    <w:rsid w:val="006B5E7C"/>
    <w:pPr>
      <w:spacing w:after="240"/>
      <w:ind w:left="1440"/>
    </w:pPr>
    <w:rPr>
      <w:color w:val="000000"/>
    </w:rPr>
  </w:style>
  <w:style w:type="character" w:styleId="Hyperlink">
    <w:name w:val="Hyperlink"/>
    <w:basedOn w:val="DefaultParagraphFont"/>
    <w:rsid w:val="006B5E7C"/>
    <w:rPr>
      <w:color w:val="0000FF"/>
      <w:u w:val="single"/>
    </w:rPr>
  </w:style>
  <w:style w:type="paragraph" w:styleId="TOC1">
    <w:name w:val="toc 1"/>
    <w:basedOn w:val="Normal"/>
    <w:next w:val="Normal"/>
    <w:autoRedefine/>
    <w:uiPriority w:val="39"/>
    <w:rsid w:val="006B5E7C"/>
    <w:pPr>
      <w:tabs>
        <w:tab w:val="right" w:leader="dot" w:pos="9356"/>
      </w:tabs>
      <w:spacing w:after="240"/>
    </w:pPr>
    <w:rPr>
      <w:szCs w:val="24"/>
      <w:u w:val="single"/>
    </w:rPr>
  </w:style>
  <w:style w:type="paragraph" w:styleId="Index1">
    <w:name w:val="index 1"/>
    <w:basedOn w:val="Normal"/>
    <w:next w:val="Normal"/>
    <w:autoRedefine/>
    <w:semiHidden/>
    <w:rsid w:val="006B5E7C"/>
    <w:pPr>
      <w:ind w:left="240" w:hanging="240"/>
    </w:pPr>
  </w:style>
  <w:style w:type="paragraph" w:styleId="TOC2">
    <w:name w:val="toc 2"/>
    <w:basedOn w:val="Normal"/>
    <w:next w:val="Normal"/>
    <w:autoRedefine/>
    <w:uiPriority w:val="39"/>
    <w:rsid w:val="006B5E7C"/>
    <w:pPr>
      <w:ind w:left="240"/>
    </w:pPr>
  </w:style>
  <w:style w:type="paragraph" w:styleId="TOC3">
    <w:name w:val="toc 3"/>
    <w:basedOn w:val="Normal"/>
    <w:next w:val="Normal"/>
    <w:autoRedefine/>
    <w:uiPriority w:val="39"/>
    <w:rsid w:val="006B5E7C"/>
    <w:pPr>
      <w:tabs>
        <w:tab w:val="right" w:leader="dot" w:pos="9356"/>
      </w:tabs>
      <w:ind w:left="648"/>
    </w:pPr>
    <w:rPr>
      <w:noProof/>
      <w:szCs w:val="24"/>
    </w:rPr>
  </w:style>
  <w:style w:type="paragraph" w:styleId="TOC4">
    <w:name w:val="toc 4"/>
    <w:basedOn w:val="Normal"/>
    <w:next w:val="Normal"/>
    <w:autoRedefine/>
    <w:uiPriority w:val="39"/>
    <w:rsid w:val="006B5E7C"/>
    <w:pPr>
      <w:tabs>
        <w:tab w:val="right" w:leader="dot" w:pos="9356"/>
      </w:tabs>
      <w:ind w:left="1080"/>
    </w:pPr>
    <w:rPr>
      <w:noProof/>
      <w:szCs w:val="24"/>
    </w:rPr>
  </w:style>
  <w:style w:type="paragraph" w:styleId="TOC5">
    <w:name w:val="toc 5"/>
    <w:basedOn w:val="Normal"/>
    <w:next w:val="Normal"/>
    <w:autoRedefine/>
    <w:semiHidden/>
    <w:rsid w:val="006B5E7C"/>
    <w:pPr>
      <w:ind w:left="960"/>
    </w:pPr>
  </w:style>
  <w:style w:type="paragraph" w:styleId="TOC6">
    <w:name w:val="toc 6"/>
    <w:basedOn w:val="Normal"/>
    <w:next w:val="Normal"/>
    <w:autoRedefine/>
    <w:semiHidden/>
    <w:rsid w:val="006B5E7C"/>
    <w:pPr>
      <w:ind w:left="1200"/>
    </w:pPr>
  </w:style>
  <w:style w:type="paragraph" w:styleId="TOC7">
    <w:name w:val="toc 7"/>
    <w:basedOn w:val="Normal"/>
    <w:next w:val="Normal"/>
    <w:autoRedefine/>
    <w:semiHidden/>
    <w:rsid w:val="006B5E7C"/>
    <w:pPr>
      <w:ind w:left="1440"/>
    </w:pPr>
  </w:style>
  <w:style w:type="paragraph" w:styleId="TOC8">
    <w:name w:val="toc 8"/>
    <w:basedOn w:val="Normal"/>
    <w:next w:val="Normal"/>
    <w:autoRedefine/>
    <w:semiHidden/>
    <w:rsid w:val="006B5E7C"/>
    <w:pPr>
      <w:ind w:left="1680"/>
    </w:pPr>
  </w:style>
  <w:style w:type="paragraph" w:styleId="TOC9">
    <w:name w:val="toc 9"/>
    <w:basedOn w:val="Normal"/>
    <w:next w:val="Normal"/>
    <w:autoRedefine/>
    <w:semiHidden/>
    <w:rsid w:val="006B5E7C"/>
    <w:pPr>
      <w:ind w:left="1920"/>
    </w:pPr>
  </w:style>
  <w:style w:type="paragraph" w:styleId="TableofFigures">
    <w:name w:val="table of figures"/>
    <w:basedOn w:val="Normal"/>
    <w:next w:val="Normal"/>
    <w:uiPriority w:val="99"/>
    <w:rsid w:val="006B5E7C"/>
    <w:pPr>
      <w:tabs>
        <w:tab w:val="left" w:pos="360"/>
        <w:tab w:val="left" w:pos="720"/>
        <w:tab w:val="right" w:leader="dot" w:pos="8640"/>
      </w:tabs>
      <w:spacing w:after="240"/>
      <w:ind w:left="720" w:hanging="720"/>
    </w:pPr>
  </w:style>
  <w:style w:type="character" w:styleId="CommentReference">
    <w:name w:val="annotation reference"/>
    <w:basedOn w:val="DefaultParagraphFont"/>
    <w:uiPriority w:val="99"/>
    <w:semiHidden/>
    <w:rsid w:val="006B5E7C"/>
    <w:rPr>
      <w:sz w:val="16"/>
    </w:rPr>
  </w:style>
  <w:style w:type="paragraph" w:styleId="CommentText">
    <w:name w:val="annotation text"/>
    <w:basedOn w:val="Normal"/>
    <w:link w:val="CommentTextChar"/>
    <w:semiHidden/>
    <w:rsid w:val="006B5E7C"/>
  </w:style>
  <w:style w:type="character" w:customStyle="1" w:styleId="CommentTextChar">
    <w:name w:val="Comment Text Char"/>
    <w:basedOn w:val="DefaultParagraphFont"/>
    <w:link w:val="CommentText"/>
    <w:semiHidden/>
    <w:rsid w:val="006B5E7C"/>
    <w:rPr>
      <w:sz w:val="24"/>
      <w:lang w:val="en-US" w:eastAsia="en-US"/>
    </w:rPr>
  </w:style>
  <w:style w:type="paragraph" w:styleId="BodyTextIndent">
    <w:name w:val="Body Text Indent"/>
    <w:basedOn w:val="Normal"/>
    <w:link w:val="BodyTextIndentChar"/>
    <w:rsid w:val="006B5E7C"/>
    <w:pPr>
      <w:spacing w:line="480" w:lineRule="auto"/>
      <w:ind w:left="1440" w:hanging="720"/>
    </w:pPr>
  </w:style>
  <w:style w:type="character" w:customStyle="1" w:styleId="BodyTextIndentChar">
    <w:name w:val="Body Text Indent Char"/>
    <w:basedOn w:val="DefaultParagraphFont"/>
    <w:link w:val="BodyTextIndent"/>
    <w:rsid w:val="006B5E7C"/>
    <w:rPr>
      <w:sz w:val="24"/>
      <w:lang w:val="en-US" w:eastAsia="en-US"/>
    </w:rPr>
  </w:style>
  <w:style w:type="character" w:styleId="FollowedHyperlink">
    <w:name w:val="FollowedHyperlink"/>
    <w:basedOn w:val="DefaultParagraphFont"/>
    <w:rsid w:val="006B5E7C"/>
    <w:rPr>
      <w:color w:val="800080"/>
      <w:u w:val="single"/>
    </w:rPr>
  </w:style>
  <w:style w:type="paragraph" w:styleId="BodyTextIndent2">
    <w:name w:val="Body Text Indent 2"/>
    <w:basedOn w:val="Normal"/>
    <w:link w:val="BodyTextIndent2Char"/>
    <w:rsid w:val="006B5E7C"/>
    <w:pPr>
      <w:ind w:left="360" w:hanging="360"/>
    </w:pPr>
  </w:style>
  <w:style w:type="character" w:customStyle="1" w:styleId="BodyTextIndent2Char">
    <w:name w:val="Body Text Indent 2 Char"/>
    <w:basedOn w:val="DefaultParagraphFont"/>
    <w:link w:val="BodyTextIndent2"/>
    <w:rsid w:val="006B5E7C"/>
    <w:rPr>
      <w:sz w:val="24"/>
      <w:lang w:val="en-US" w:eastAsia="en-US"/>
    </w:rPr>
  </w:style>
  <w:style w:type="character" w:customStyle="1" w:styleId="Heading3Char">
    <w:name w:val="Heading 3 Char"/>
    <w:basedOn w:val="DefaultParagraphFont"/>
    <w:link w:val="Heading3"/>
    <w:rsid w:val="006B5E7C"/>
    <w:rPr>
      <w:b/>
      <w:sz w:val="24"/>
      <w:lang w:val="en-US" w:eastAsia="en-US"/>
    </w:rPr>
  </w:style>
  <w:style w:type="character" w:customStyle="1" w:styleId="FootnoteTextChar">
    <w:name w:val="Footnote Text Char"/>
    <w:basedOn w:val="DefaultParagraphFont"/>
    <w:link w:val="FootnoteText"/>
    <w:semiHidden/>
    <w:rsid w:val="006B5E7C"/>
    <w:rPr>
      <w:lang w:val="en-US" w:eastAsia="en-US"/>
    </w:rPr>
  </w:style>
  <w:style w:type="paragraph" w:styleId="CommentSubject">
    <w:name w:val="annotation subject"/>
    <w:basedOn w:val="CommentText"/>
    <w:next w:val="CommentText"/>
    <w:link w:val="CommentSubjectChar"/>
    <w:uiPriority w:val="99"/>
    <w:semiHidden/>
    <w:unhideWhenUsed/>
    <w:rsid w:val="006B5E7C"/>
    <w:rPr>
      <w:b/>
      <w:bCs/>
      <w:sz w:val="20"/>
    </w:rPr>
  </w:style>
  <w:style w:type="character" w:customStyle="1" w:styleId="CommentSubjectChar">
    <w:name w:val="Comment Subject Char"/>
    <w:basedOn w:val="CommentTextChar"/>
    <w:link w:val="CommentSubject"/>
    <w:uiPriority w:val="99"/>
    <w:semiHidden/>
    <w:rsid w:val="006B5E7C"/>
    <w:rPr>
      <w:b/>
      <w:bCs/>
      <w:sz w:val="24"/>
      <w:lang w:val="en-US" w:eastAsia="en-US"/>
    </w:rPr>
  </w:style>
  <w:style w:type="paragraph" w:styleId="BalloonText">
    <w:name w:val="Balloon Text"/>
    <w:basedOn w:val="Normal"/>
    <w:link w:val="BalloonTextChar"/>
    <w:uiPriority w:val="99"/>
    <w:semiHidden/>
    <w:unhideWhenUsed/>
    <w:rsid w:val="006B5E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5E7C"/>
    <w:rPr>
      <w:rFonts w:ascii="Segoe UI" w:hAnsi="Segoe UI" w:cs="Segoe UI"/>
      <w:sz w:val="18"/>
      <w:szCs w:val="18"/>
      <w:lang w:val="en-US" w:eastAsia="en-US"/>
    </w:rPr>
  </w:style>
  <w:style w:type="paragraph" w:styleId="NoSpacing">
    <w:name w:val="No Spacing"/>
    <w:uiPriority w:val="1"/>
    <w:qFormat/>
    <w:rsid w:val="006B5E7C"/>
    <w:rPr>
      <w:sz w:val="24"/>
      <w:lang w:val="en-US" w:eastAsia="en-US"/>
    </w:rPr>
  </w:style>
  <w:style w:type="paragraph" w:customStyle="1" w:styleId="Chapter">
    <w:name w:val="Chapter"/>
    <w:basedOn w:val="ONEINCHSPACER"/>
    <w:link w:val="ChapterChar"/>
    <w:qFormat/>
    <w:rsid w:val="006B5E7C"/>
    <w:pPr>
      <w:spacing w:before="0"/>
      <w:jc w:val="center"/>
    </w:pPr>
    <w:rPr>
      <w:caps/>
      <w:sz w:val="36"/>
      <w:szCs w:val="36"/>
    </w:rPr>
  </w:style>
  <w:style w:type="character" w:customStyle="1" w:styleId="ChapterChar">
    <w:name w:val="Chapter Char"/>
    <w:basedOn w:val="DefaultParagraphFont"/>
    <w:link w:val="Chapter"/>
    <w:rsid w:val="006B5E7C"/>
    <w:rPr>
      <w:cap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761B8A-4FD9-4ACA-8BAC-0E868F6A9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1467</TotalTime>
  <Pages>1</Pages>
  <Words>6961</Words>
  <Characters>39678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46546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115</cp:revision>
  <cp:lastPrinted>1999-05-26T15:06:00Z</cp:lastPrinted>
  <dcterms:created xsi:type="dcterms:W3CDTF">2015-08-27T21:14:00Z</dcterms:created>
  <dcterms:modified xsi:type="dcterms:W3CDTF">2016-01-04T20:26:00Z</dcterms:modified>
</cp:coreProperties>
</file>