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BC" w:rsidRDefault="002B2EBC">
      <w:pPr>
        <w:jc w:val="center"/>
      </w:pPr>
      <w:r>
        <w:t>TABLE OF CONTENTS</w:t>
      </w:r>
    </w:p>
    <w:p w:rsidR="002B2EBC" w:rsidRDefault="002B2EBC">
      <w:pPr>
        <w:jc w:val="right"/>
        <w:rPr>
          <w:u w:val="single"/>
        </w:rPr>
      </w:pPr>
      <w:r>
        <w:rPr>
          <w:u w:val="single"/>
        </w:rPr>
        <w:t>page</w:t>
      </w:r>
    </w:p>
    <w:p w:rsidR="002B2EBC" w:rsidRDefault="002B2EBC">
      <w:pPr>
        <w:jc w:val="right"/>
        <w:rPr>
          <w:u w:val="single"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_Toc459300462 \h </w:instrText>
      </w:r>
      <w:r>
        <w:fldChar w:fldCharType="separate"/>
      </w:r>
      <w:r>
        <w:t>iii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_Toc459300463 \h </w:instrText>
      </w:r>
      <w:r>
        <w:fldChar w:fldCharType="separate"/>
      </w:r>
      <w:r>
        <w:t>iv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_Toc459300464 \h </w:instrText>
      </w:r>
      <w:r>
        <w:fldChar w:fldCharType="separate"/>
      </w:r>
      <w:r>
        <w:t>x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_Toc459300465 \h </w:instrText>
      </w:r>
      <w:r>
        <w:fldChar w:fldCharType="separate"/>
      </w:r>
      <w:r>
        <w:t>xi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_Toc459300466 \h </w:instrText>
      </w:r>
      <w:r>
        <w:fldChar w:fldCharType="separate"/>
      </w:r>
      <w:r>
        <w:t>xix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_Toc459300467 \h </w:instrText>
      </w:r>
      <w:r>
        <w:fldChar w:fldCharType="separate"/>
      </w:r>
      <w:r>
        <w:t>1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</w:r>
      <w:r>
        <w:fldChar w:fldCharType="begin"/>
      </w:r>
      <w:r>
        <w:instrText xml:space="preserve"> PAGEREF _Toc459300468 \h </w:instrText>
      </w:r>
      <w:r>
        <w:fldChar w:fldCharType="separate"/>
      </w:r>
      <w:r>
        <w:t>6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noProof/>
        </w:rPr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INSTRUMENT DESIGN</w:t>
      </w:r>
      <w:r>
        <w:tab/>
      </w:r>
      <w:r>
        <w:fldChar w:fldCharType="begin"/>
      </w:r>
      <w:r>
        <w:instrText xml:space="preserve"> PAGEREF _Toc459300491 \h </w:instrText>
      </w:r>
      <w:r>
        <w:fldChar w:fldCharType="separate"/>
      </w:r>
      <w:r>
        <w:t>38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noProof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_Toc459300509 \h </w:instrText>
      </w:r>
      <w:r>
        <w:fldChar w:fldCharType="separate"/>
      </w:r>
      <w:r>
        <w:t>84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_Toc459300523 \h </w:instrText>
      </w:r>
      <w:r>
        <w:fldChar w:fldCharType="separate"/>
      </w:r>
      <w:r>
        <w:t>104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noProof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_Toc459300533 \h </w:instrText>
      </w:r>
      <w:r>
        <w:fldChar w:fldCharType="separate"/>
      </w:r>
      <w:r>
        <w:t>133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6.4 Conclusions of the modelling study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_Toc459300545 \h </w:instrText>
      </w:r>
      <w:r>
        <w:fldChar w:fldCharType="separate"/>
      </w:r>
      <w:r>
        <w:t>161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Contributions of This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7.3  Outlook, Recommendations and Future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_Toc459300549 \h </w:instrText>
      </w:r>
      <w:r>
        <w:fldChar w:fldCharType="separate"/>
      </w:r>
      <w:r>
        <w:t>169</w:t>
      </w:r>
      <w:r>
        <w:fldChar w:fldCharType="end"/>
      </w: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E115ED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_Toc459300550 \h </w:instrText>
      </w:r>
      <w:r>
        <w:fldChar w:fldCharType="separate"/>
      </w:r>
      <w:r>
        <w:t>182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noProof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2B2EBC" w:rsidRPr="00E678B3" w:rsidRDefault="002B2EBC" w:rsidP="00E678B3">
      <w:pPr>
        <w:rPr>
          <w:rFonts w:eastAsiaTheme="minorEastAsia"/>
          <w:noProof/>
        </w:rPr>
      </w:pPr>
    </w:p>
    <w:p w:rsidR="002B2EBC" w:rsidRDefault="002B2EB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E115ED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_Toc459300560 \h </w:instrText>
      </w:r>
      <w:r>
        <w:fldChar w:fldCharType="separate"/>
      </w:r>
      <w:r>
        <w:t>186</w:t>
      </w:r>
      <w: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E115ED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E115ED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B2EBC" w:rsidRDefault="002B2E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2B2EBC" w:rsidRDefault="002B2EB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2B2EBC" w:rsidRDefault="002B2EBC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2B2EBC" w:rsidRDefault="002B2EBC">
      <w:pPr>
        <w:tabs>
          <w:tab w:val="right" w:leader="dot" w:pos="8630"/>
        </w:tabs>
        <w:sectPr w:rsidR="002B2EBC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4F" w:rsidRDefault="00F7254F">
      <w:r>
        <w:separator/>
      </w:r>
    </w:p>
  </w:endnote>
  <w:endnote w:type="continuationSeparator" w:id="0">
    <w:p w:rsidR="00F7254F" w:rsidRDefault="00F7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EBC" w:rsidRDefault="002B2EB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4F" w:rsidRDefault="00F7254F">
      <w:r>
        <w:separator/>
      </w:r>
    </w:p>
  </w:footnote>
  <w:footnote w:type="continuationSeparator" w:id="0">
    <w:p w:rsidR="00F7254F" w:rsidRDefault="00F72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75304"/>
    <w:rsid w:val="000D37A2"/>
    <w:rsid w:val="000F0AC4"/>
    <w:rsid w:val="00164357"/>
    <w:rsid w:val="00172BF8"/>
    <w:rsid w:val="001A414A"/>
    <w:rsid w:val="001F3B75"/>
    <w:rsid w:val="002059BB"/>
    <w:rsid w:val="00207019"/>
    <w:rsid w:val="00226E5D"/>
    <w:rsid w:val="00275338"/>
    <w:rsid w:val="002B2EBC"/>
    <w:rsid w:val="003D5898"/>
    <w:rsid w:val="003E3D09"/>
    <w:rsid w:val="003F0990"/>
    <w:rsid w:val="00402CAB"/>
    <w:rsid w:val="004056F4"/>
    <w:rsid w:val="0041206F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23F0C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5E12"/>
    <w:rsid w:val="007F370C"/>
    <w:rsid w:val="00811429"/>
    <w:rsid w:val="0082613B"/>
    <w:rsid w:val="00831D4D"/>
    <w:rsid w:val="0086284A"/>
    <w:rsid w:val="008836AB"/>
    <w:rsid w:val="008A386E"/>
    <w:rsid w:val="00914047"/>
    <w:rsid w:val="009655A3"/>
    <w:rsid w:val="0098678B"/>
    <w:rsid w:val="00993983"/>
    <w:rsid w:val="00994872"/>
    <w:rsid w:val="009A6038"/>
    <w:rsid w:val="009F6A7D"/>
    <w:rsid w:val="00A94DD5"/>
    <w:rsid w:val="00AD3D7F"/>
    <w:rsid w:val="00AF1264"/>
    <w:rsid w:val="00B46F0D"/>
    <w:rsid w:val="00B5006A"/>
    <w:rsid w:val="00B7134E"/>
    <w:rsid w:val="00B96A6D"/>
    <w:rsid w:val="00BF27A5"/>
    <w:rsid w:val="00BF291B"/>
    <w:rsid w:val="00C1146E"/>
    <w:rsid w:val="00C148AE"/>
    <w:rsid w:val="00C3188A"/>
    <w:rsid w:val="00C42B5B"/>
    <w:rsid w:val="00D70807"/>
    <w:rsid w:val="00E23733"/>
    <w:rsid w:val="00E53F5A"/>
    <w:rsid w:val="00EC034E"/>
    <w:rsid w:val="00EC5095"/>
    <w:rsid w:val="00F4268D"/>
    <w:rsid w:val="00F7254F"/>
    <w:rsid w:val="00F9323C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14</cp:revision>
  <cp:lastPrinted>1999-05-10T21:24:00Z</cp:lastPrinted>
  <dcterms:created xsi:type="dcterms:W3CDTF">2015-08-27T23:01:00Z</dcterms:created>
  <dcterms:modified xsi:type="dcterms:W3CDTF">2016-08-18T22:54:00Z</dcterms:modified>
</cp:coreProperties>
</file>