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16E" w:rsidRDefault="0006516E">
      <w:pPr>
        <w:pStyle w:val="ONEINCHSPACER"/>
        <w:sectPr w:rsidR="0006516E"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06516E" w:rsidRDefault="0006516E">
      <w:pPr>
        <w:pStyle w:val="CHAPTERTITLE"/>
      </w:pPr>
      <w:bookmarkStart w:id="0" w:name="_Toc452268365"/>
      <w:bookmarkStart w:id="1" w:name="_Toc452271411"/>
      <w:bookmarkStart w:id="2" w:name="_Toc463080875"/>
      <w:bookmarkStart w:id="3" w:name="_Toc463184602"/>
      <w:bookmarkStart w:id="4" w:name="_Toc463700928"/>
      <w:bookmarkStart w:id="5" w:name="_Toc442187624"/>
      <w:r>
        <w:t>LIST OF FIGURES</w:t>
      </w:r>
      <w:bookmarkEnd w:id="0"/>
      <w:bookmarkEnd w:id="1"/>
      <w:bookmarkEnd w:id="2"/>
      <w:bookmarkEnd w:id="3"/>
      <w:bookmarkEnd w:id="4"/>
      <w:bookmarkEnd w:id="5"/>
    </w:p>
    <w:p w:rsidR="0006516E" w:rsidRDefault="0006516E" w:rsidP="00D43CC4">
      <w:pPr>
        <w:tabs>
          <w:tab w:val="right" w:pos="9356"/>
        </w:tabs>
        <w:rPr>
          <w:u w:val="single"/>
        </w:rPr>
      </w:pPr>
      <w:r>
        <w:rPr>
          <w:u w:val="single"/>
        </w:rPr>
        <w:t>Figure</w:t>
      </w:r>
      <w:r>
        <w:tab/>
      </w:r>
      <w:r>
        <w:rPr>
          <w:u w:val="single"/>
        </w:rPr>
        <w:t>page</w:t>
      </w:r>
    </w:p>
    <w:p w:rsidR="0006516E" w:rsidRDefault="0006516E" w:rsidP="00D43CC4">
      <w:pPr>
        <w:pStyle w:val="ONEINCHSPACER"/>
        <w:tabs>
          <w:tab w:val="right" w:pos="9356"/>
        </w:tabs>
        <w:spacing w:before="0"/>
      </w:pPr>
    </w:p>
    <w:p w:rsidR="0006516E" w:rsidRDefault="0006516E">
      <w:pPr>
        <w:pStyle w:val="TableofFigures"/>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0428B5">
        <w:rPr>
          <w:b/>
          <w:noProof/>
        </w:rPr>
        <w:t>Figure 2-1</w:t>
      </w:r>
      <w:r>
        <w:rPr>
          <w:noProof/>
        </w:rPr>
        <w:t>: Log-normal distribution for non-volcanic background aerosol layer.</w:t>
      </w:r>
      <w:r>
        <w:rPr>
          <w:noProof/>
        </w:rPr>
        <w:tab/>
      </w:r>
      <w:r>
        <w:rPr>
          <w:noProof/>
        </w:rPr>
        <w:fldChar w:fldCharType="begin"/>
      </w:r>
      <w:r>
        <w:rPr>
          <w:noProof/>
        </w:rPr>
        <w:instrText xml:space="preserve"> PAGEREF _Toc442188780 \h </w:instrText>
      </w:r>
      <w:r>
        <w:rPr>
          <w:noProof/>
        </w:rPr>
      </w:r>
      <w:r>
        <w:rPr>
          <w:noProof/>
        </w:rPr>
        <w:fldChar w:fldCharType="separate"/>
      </w:r>
      <w:r>
        <w:rPr>
          <w:noProof/>
        </w:rPr>
        <w:t>9</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0428B5">
        <w:rPr>
          <w:i/>
          <w:noProof/>
        </w:rPr>
        <w:t xml:space="preserve">Deshler et al. </w:t>
      </w:r>
      <w:r>
        <w:rPr>
          <w:noProof/>
        </w:rPr>
        <w:t>(2003).</w:t>
      </w:r>
      <w:r>
        <w:rPr>
          <w:noProof/>
        </w:rPr>
        <w:tab/>
      </w:r>
      <w:r>
        <w:rPr>
          <w:noProof/>
        </w:rPr>
        <w:fldChar w:fldCharType="begin"/>
      </w:r>
      <w:r>
        <w:rPr>
          <w:noProof/>
        </w:rPr>
        <w:instrText xml:space="preserve"> PAGEREF _Toc442188781 \h </w:instrText>
      </w:r>
      <w:r>
        <w:rPr>
          <w:noProof/>
        </w:rPr>
      </w:r>
      <w:r>
        <w:rPr>
          <w:noProof/>
        </w:rPr>
        <w:fldChar w:fldCharType="separate"/>
      </w:r>
      <w:r>
        <w:rPr>
          <w:noProof/>
        </w:rPr>
        <w:t>10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_Toc442188782 \h </w:instrText>
      </w:r>
      <w:r>
        <w:rPr>
          <w:noProof/>
        </w:rPr>
      </w:r>
      <w:r>
        <w:rPr>
          <w:noProof/>
        </w:rPr>
        <w:fldChar w:fldCharType="separate"/>
      </w:r>
      <w:r>
        <w:rPr>
          <w:noProof/>
        </w:rPr>
        <w:t>14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2-4</w:t>
      </w:r>
      <w:r>
        <w:rPr>
          <w:noProof/>
        </w:rPr>
        <w:t>: Lidar instrument showing a measurements in both the nadir and off-nadir lines of sight.</w:t>
      </w:r>
      <w:r>
        <w:rPr>
          <w:noProof/>
        </w:rPr>
        <w:tab/>
      </w:r>
      <w:r>
        <w:rPr>
          <w:noProof/>
        </w:rPr>
        <w:fldChar w:fldCharType="begin"/>
      </w:r>
      <w:r>
        <w:rPr>
          <w:noProof/>
        </w:rPr>
        <w:instrText xml:space="preserve"> PAGEREF _Toc442188783 \h </w:instrText>
      </w:r>
      <w:r>
        <w:rPr>
          <w:noProof/>
        </w:rPr>
      </w:r>
      <w:r>
        <w:rPr>
          <w:noProof/>
        </w:rPr>
        <w:fldChar w:fldCharType="separate"/>
      </w:r>
      <w:r>
        <w:rPr>
          <w:noProof/>
        </w:rPr>
        <w:t>16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_Toc442188784 \h </w:instrText>
      </w:r>
      <w:r>
        <w:rPr>
          <w:noProof/>
        </w:rPr>
      </w:r>
      <w:r>
        <w:rPr>
          <w:noProof/>
        </w:rPr>
        <w:fldChar w:fldCharType="separate"/>
      </w:r>
      <w:r>
        <w:rPr>
          <w:noProof/>
        </w:rPr>
        <w:t>17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0428B5">
        <w:rPr>
          <w:i/>
          <w:noProof/>
        </w:rPr>
        <w:t xml:space="preserve">Xu and Stroud </w:t>
      </w:r>
      <w:r>
        <w:rPr>
          <w:noProof/>
        </w:rPr>
        <w:t>(1992)</w:t>
      </w:r>
      <w:r>
        <w:rPr>
          <w:noProof/>
        </w:rPr>
        <w:tab/>
      </w:r>
      <w:r>
        <w:rPr>
          <w:noProof/>
        </w:rPr>
        <w:fldChar w:fldCharType="begin"/>
      </w:r>
      <w:r>
        <w:rPr>
          <w:noProof/>
        </w:rPr>
        <w:instrText xml:space="preserve"> PAGEREF _Toc442188785 \h </w:instrText>
      </w:r>
      <w:r>
        <w:rPr>
          <w:noProof/>
        </w:rPr>
      </w:r>
      <w:r>
        <w:rPr>
          <w:noProof/>
        </w:rPr>
        <w:fldChar w:fldCharType="separate"/>
      </w:r>
      <w:r>
        <w:rPr>
          <w:noProof/>
        </w:rPr>
        <w:t>32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w:t>
      </w:r>
      <w:r>
        <w:rPr>
          <w:noProof/>
        </w:rPr>
        <w:t xml:space="preserve">: A standard non-collinear AOTF experiential set up. The crystal is assumed to infinitely long in the y direction. Figure recreated after </w:t>
      </w:r>
      <w:r w:rsidRPr="000428B5">
        <w:rPr>
          <w:i/>
          <w:noProof/>
        </w:rPr>
        <w:t>Guenther</w:t>
      </w:r>
      <w:r>
        <w:rPr>
          <w:noProof/>
        </w:rPr>
        <w:t xml:space="preserve"> (1990) number 14B-1.</w:t>
      </w:r>
      <w:r>
        <w:rPr>
          <w:noProof/>
        </w:rPr>
        <w:tab/>
      </w:r>
      <w:r>
        <w:rPr>
          <w:noProof/>
        </w:rPr>
        <w:fldChar w:fldCharType="begin"/>
      </w:r>
      <w:r>
        <w:rPr>
          <w:noProof/>
        </w:rPr>
        <w:instrText xml:space="preserve"> PAGEREF _Toc442188786 \h </w:instrText>
      </w:r>
      <w:r>
        <w:rPr>
          <w:noProof/>
        </w:rPr>
      </w:r>
      <w:r>
        <w:rPr>
          <w:noProof/>
        </w:rPr>
        <w:fldChar w:fldCharType="separate"/>
      </w:r>
      <w:r>
        <w:rPr>
          <w:noProof/>
        </w:rPr>
        <w:t>36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_Toc442188787 \h </w:instrText>
      </w:r>
      <w:r>
        <w:rPr>
          <w:noProof/>
        </w:rPr>
      </w:r>
      <w:r>
        <w:rPr>
          <w:noProof/>
        </w:rPr>
        <w:fldChar w:fldCharType="separate"/>
      </w:r>
      <w:r>
        <w:rPr>
          <w:noProof/>
        </w:rPr>
        <w:t>37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_Toc442188788 \h </w:instrText>
      </w:r>
      <w:r>
        <w:rPr>
          <w:noProof/>
        </w:rPr>
      </w:r>
      <w:r>
        <w:rPr>
          <w:noProof/>
        </w:rPr>
        <w:fldChar w:fldCharType="separate"/>
      </w:r>
      <w:r>
        <w:rPr>
          <w:noProof/>
        </w:rPr>
        <w:t>39</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_Toc442188789 \h </w:instrText>
      </w:r>
      <w:r>
        <w:rPr>
          <w:noProof/>
        </w:rPr>
      </w:r>
      <w:r>
        <w:rPr>
          <w:noProof/>
        </w:rPr>
        <w:fldChar w:fldCharType="separate"/>
      </w:r>
      <w:r>
        <w:rPr>
          <w:noProof/>
        </w:rPr>
        <w:t>41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_Toc442188790 \h </w:instrText>
      </w:r>
      <w:r>
        <w:rPr>
          <w:noProof/>
        </w:rPr>
      </w:r>
      <w:r>
        <w:rPr>
          <w:noProof/>
        </w:rPr>
        <w:fldChar w:fldCharType="separate"/>
      </w:r>
      <w:r>
        <w:rPr>
          <w:noProof/>
        </w:rPr>
        <w:t>43</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_Toc442188791 \h </w:instrText>
      </w:r>
      <w:r>
        <w:rPr>
          <w:noProof/>
        </w:rPr>
      </w:r>
      <w:r>
        <w:rPr>
          <w:noProof/>
        </w:rPr>
        <w:fldChar w:fldCharType="separate"/>
      </w:r>
      <w:r>
        <w:rPr>
          <w:noProof/>
        </w:rPr>
        <w:t>45</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_Toc442188792 \h </w:instrText>
      </w:r>
      <w:r>
        <w:rPr>
          <w:noProof/>
        </w:rPr>
      </w:r>
      <w:r>
        <w:rPr>
          <w:noProof/>
        </w:rPr>
        <w:fldChar w:fldCharType="separate"/>
      </w:r>
      <w:r>
        <w:rPr>
          <w:noProof/>
        </w:rPr>
        <w:t>47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_Toc442188793 \h </w:instrText>
      </w:r>
      <w:r>
        <w:rPr>
          <w:noProof/>
        </w:rPr>
      </w:r>
      <w:r>
        <w:rPr>
          <w:noProof/>
        </w:rPr>
        <w:fldChar w:fldCharType="separate"/>
      </w:r>
      <w:r>
        <w:rPr>
          <w:noProof/>
        </w:rPr>
        <w:t>48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_Toc442188794 \h </w:instrText>
      </w:r>
      <w:r>
        <w:rPr>
          <w:noProof/>
        </w:rPr>
      </w:r>
      <w:r>
        <w:rPr>
          <w:noProof/>
        </w:rPr>
        <w:fldChar w:fldCharType="separate"/>
      </w:r>
      <w:r>
        <w:rPr>
          <w:noProof/>
        </w:rPr>
        <w:t>50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_Toc442188795 \h </w:instrText>
      </w:r>
      <w:r>
        <w:rPr>
          <w:noProof/>
        </w:rPr>
      </w:r>
      <w:r>
        <w:rPr>
          <w:noProof/>
        </w:rPr>
        <w:fldChar w:fldCharType="separate"/>
      </w:r>
      <w:r>
        <w:rPr>
          <w:noProof/>
        </w:rPr>
        <w:t>50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_Toc442188796 \h </w:instrText>
      </w:r>
      <w:r>
        <w:rPr>
          <w:noProof/>
        </w:rPr>
      </w:r>
      <w:r>
        <w:rPr>
          <w:noProof/>
        </w:rPr>
        <w:fldChar w:fldCharType="separate"/>
      </w:r>
      <w:r>
        <w:rPr>
          <w:noProof/>
        </w:rPr>
        <w:t>52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_Toc442188797 \h </w:instrText>
      </w:r>
      <w:r>
        <w:rPr>
          <w:noProof/>
        </w:rPr>
      </w:r>
      <w:r>
        <w:rPr>
          <w:noProof/>
        </w:rPr>
        <w:fldChar w:fldCharType="separate"/>
      </w:r>
      <w:r>
        <w:rPr>
          <w:noProof/>
        </w:rPr>
        <w:t>54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_Toc442188798 \h </w:instrText>
      </w:r>
      <w:r>
        <w:rPr>
          <w:noProof/>
        </w:rPr>
      </w:r>
      <w:r>
        <w:rPr>
          <w:noProof/>
        </w:rPr>
        <w:fldChar w:fldCharType="separate"/>
      </w:r>
      <w:r>
        <w:rPr>
          <w:noProof/>
        </w:rPr>
        <w:t>55</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_Toc442188799 \h </w:instrText>
      </w:r>
      <w:r>
        <w:rPr>
          <w:noProof/>
        </w:rPr>
      </w:r>
      <w:r>
        <w:rPr>
          <w:noProof/>
        </w:rPr>
        <w:fldChar w:fldCharType="separate"/>
      </w:r>
      <w:r>
        <w:rPr>
          <w:noProof/>
        </w:rPr>
        <w:t>57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3-16</w:t>
      </w:r>
      <w:r>
        <w:rPr>
          <w:noProof/>
        </w:rPr>
        <w:t>: Code V simulation of the spot size for the telescopic system. The spots are shown for 0.0, 1.5 and 3.0</w:t>
      </w:r>
      <w:r w:rsidRPr="000428B5">
        <w:rPr>
          <w:noProof/>
          <w:vertAlign w:val="superscript"/>
        </w:rPr>
        <w:t>o</w:t>
      </w:r>
      <w:r>
        <w:rPr>
          <w:noProof/>
        </w:rPr>
        <w:t xml:space="preserve"> fields of view at 600 nm (blue) and 800 nm (green). The full spot sizes for the 600 nm spots are 0.004, 0.045, and 0.122 mm for 0.0, 1.5, and 3.0</w:t>
      </w:r>
      <w:r w:rsidRPr="000428B5">
        <w:rPr>
          <w:noProof/>
          <w:vertAlign w:val="superscript"/>
        </w:rPr>
        <w:t>o</w:t>
      </w:r>
      <w:r>
        <w:rPr>
          <w:noProof/>
        </w:rPr>
        <w:t xml:space="preserve"> fields respectively, with the corresponding 800 nm spot sizes being 0.096, 0.081, 0.047</w:t>
      </w:r>
      <w:r w:rsidRPr="000428B5">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_Toc442188800 \h </w:instrText>
      </w:r>
      <w:r>
        <w:rPr>
          <w:noProof/>
        </w:rPr>
      </w:r>
      <w:r>
        <w:rPr>
          <w:noProof/>
        </w:rPr>
        <w:fldChar w:fldCharType="separate"/>
      </w:r>
      <w:r>
        <w:rPr>
          <w:noProof/>
        </w:rPr>
        <w:t>58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_Toc442188801 \h </w:instrText>
      </w:r>
      <w:r>
        <w:rPr>
          <w:noProof/>
        </w:rPr>
      </w:r>
      <w:r>
        <w:rPr>
          <w:noProof/>
        </w:rPr>
        <w:fldChar w:fldCharType="separate"/>
      </w:r>
      <w:r>
        <w:rPr>
          <w:noProof/>
        </w:rPr>
        <w:t>58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_Toc442188802 \h </w:instrText>
      </w:r>
      <w:r>
        <w:rPr>
          <w:noProof/>
        </w:rPr>
      </w:r>
      <w:r>
        <w:rPr>
          <w:noProof/>
        </w:rPr>
        <w:fldChar w:fldCharType="separate"/>
      </w:r>
      <w:r>
        <w:rPr>
          <w:noProof/>
        </w:rPr>
        <w:t>60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3-19</w:t>
      </w:r>
      <w:r>
        <w:rPr>
          <w:noProof/>
        </w:rPr>
        <w:t>: MTF analysis performed by Code V for the final ALI design used in campaign.  The 7 pixel running average corresponds to a spatial frequency of 15.5 cycles</w:t>
      </w:r>
      <w:r w:rsidRPr="000428B5">
        <w:rPr>
          <w:noProof/>
          <w:lang w:val="en-CA"/>
        </w:rPr>
        <w:t>/mm.</w:t>
      </w:r>
      <w:r>
        <w:rPr>
          <w:noProof/>
        </w:rPr>
        <w:tab/>
      </w:r>
      <w:r>
        <w:rPr>
          <w:noProof/>
        </w:rPr>
        <w:fldChar w:fldCharType="begin"/>
      </w:r>
      <w:r>
        <w:rPr>
          <w:noProof/>
        </w:rPr>
        <w:instrText xml:space="preserve"> PAGEREF _Toc442188803 \h </w:instrText>
      </w:r>
      <w:r>
        <w:rPr>
          <w:noProof/>
        </w:rPr>
      </w:r>
      <w:r>
        <w:rPr>
          <w:noProof/>
        </w:rPr>
        <w:fldChar w:fldCharType="separate"/>
      </w:r>
      <w:r>
        <w:rPr>
          <w:noProof/>
        </w:rPr>
        <w:t>62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_Toc442188804 \h </w:instrText>
      </w:r>
      <w:r>
        <w:rPr>
          <w:noProof/>
        </w:rPr>
      </w:r>
      <w:r>
        <w:rPr>
          <w:noProof/>
        </w:rPr>
        <w:fldChar w:fldCharType="separate"/>
      </w:r>
      <w:r>
        <w:rPr>
          <w:noProof/>
        </w:rPr>
        <w:t>67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_Toc442188805 \h </w:instrText>
      </w:r>
      <w:r>
        <w:rPr>
          <w:noProof/>
        </w:rPr>
      </w:r>
      <w:r>
        <w:rPr>
          <w:noProof/>
        </w:rPr>
        <w:fldChar w:fldCharType="separate"/>
      </w:r>
      <w:r>
        <w:rPr>
          <w:noProof/>
        </w:rPr>
        <w:t>69</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_Toc442188806 \h </w:instrText>
      </w:r>
      <w:r>
        <w:rPr>
          <w:noProof/>
        </w:rPr>
      </w:r>
      <w:r>
        <w:rPr>
          <w:noProof/>
        </w:rPr>
        <w:fldChar w:fldCharType="separate"/>
      </w:r>
      <w:r>
        <w:rPr>
          <w:noProof/>
        </w:rPr>
        <w:t>71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_Toc442188807 \h </w:instrText>
      </w:r>
      <w:r>
        <w:rPr>
          <w:noProof/>
        </w:rPr>
      </w:r>
      <w:r>
        <w:rPr>
          <w:noProof/>
        </w:rPr>
        <w:fldChar w:fldCharType="separate"/>
      </w:r>
      <w:r>
        <w:rPr>
          <w:noProof/>
        </w:rPr>
        <w:t>74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_Toc442188808 \h </w:instrText>
      </w:r>
      <w:r>
        <w:rPr>
          <w:noProof/>
        </w:rPr>
      </w:r>
      <w:r>
        <w:rPr>
          <w:noProof/>
        </w:rPr>
        <w:fldChar w:fldCharType="separate"/>
      </w:r>
      <w:r>
        <w:rPr>
          <w:noProof/>
        </w:rPr>
        <w:t>75</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3-25</w:t>
      </w:r>
      <w:r>
        <w:rPr>
          <w:noProof/>
        </w:rPr>
        <w:t>: ALI baffle vain profile. Dimensions are in millimeters.</w:t>
      </w:r>
      <w:r>
        <w:rPr>
          <w:noProof/>
        </w:rPr>
        <w:tab/>
      </w:r>
      <w:r>
        <w:rPr>
          <w:noProof/>
        </w:rPr>
        <w:fldChar w:fldCharType="begin"/>
      </w:r>
      <w:r>
        <w:rPr>
          <w:noProof/>
        </w:rPr>
        <w:instrText xml:space="preserve"> PAGEREF _Toc442188809 \h </w:instrText>
      </w:r>
      <w:r>
        <w:rPr>
          <w:noProof/>
        </w:rPr>
      </w:r>
      <w:r>
        <w:rPr>
          <w:noProof/>
        </w:rPr>
        <w:fldChar w:fldCharType="separate"/>
      </w:r>
      <w:r>
        <w:rPr>
          <w:noProof/>
        </w:rPr>
        <w:t>75</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3-26</w:t>
      </w:r>
      <w:r>
        <w:rPr>
          <w:noProof/>
        </w:rPr>
        <w:t>: Final ALI optical and opto-mechanical assembly.</w:t>
      </w:r>
      <w:r>
        <w:rPr>
          <w:noProof/>
        </w:rPr>
        <w:tab/>
      </w:r>
      <w:r>
        <w:rPr>
          <w:noProof/>
        </w:rPr>
        <w:fldChar w:fldCharType="begin"/>
      </w:r>
      <w:r>
        <w:rPr>
          <w:noProof/>
        </w:rPr>
        <w:instrText xml:space="preserve"> PAGEREF _Toc442188810 \h </w:instrText>
      </w:r>
      <w:r>
        <w:rPr>
          <w:noProof/>
        </w:rPr>
      </w:r>
      <w:r>
        <w:rPr>
          <w:noProof/>
        </w:rPr>
        <w:fldChar w:fldCharType="separate"/>
      </w:r>
      <w:r>
        <w:rPr>
          <w:noProof/>
        </w:rPr>
        <w:t>76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_Toc442188811 \h </w:instrText>
      </w:r>
      <w:r>
        <w:rPr>
          <w:noProof/>
        </w:rPr>
      </w:r>
      <w:r>
        <w:rPr>
          <w:noProof/>
        </w:rPr>
        <w:fldChar w:fldCharType="separate"/>
      </w:r>
      <w:r>
        <w:rPr>
          <w:noProof/>
        </w:rPr>
        <w:t>77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_Toc442188812 \h </w:instrText>
      </w:r>
      <w:r>
        <w:rPr>
          <w:noProof/>
        </w:rPr>
      </w:r>
      <w:r>
        <w:rPr>
          <w:noProof/>
        </w:rPr>
        <w:fldChar w:fldCharType="separate"/>
      </w:r>
      <w:r>
        <w:rPr>
          <w:noProof/>
        </w:rPr>
        <w:t>80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_Toc442188813 \h </w:instrText>
      </w:r>
      <w:r>
        <w:rPr>
          <w:noProof/>
        </w:rPr>
      </w:r>
      <w:r>
        <w:rPr>
          <w:noProof/>
        </w:rPr>
        <w:fldChar w:fldCharType="separate"/>
      </w:r>
      <w:r>
        <w:rPr>
          <w:noProof/>
        </w:rPr>
        <w:t>84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_Toc442188814 \h </w:instrText>
      </w:r>
      <w:r>
        <w:rPr>
          <w:noProof/>
        </w:rPr>
      </w:r>
      <w:r>
        <w:rPr>
          <w:noProof/>
        </w:rPr>
        <w:fldChar w:fldCharType="separate"/>
      </w:r>
      <w:r>
        <w:rPr>
          <w:noProof/>
        </w:rPr>
        <w:t>86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_Toc442188815 \h </w:instrText>
      </w:r>
      <w:r>
        <w:rPr>
          <w:noProof/>
        </w:rPr>
      </w:r>
      <w:r>
        <w:rPr>
          <w:noProof/>
        </w:rPr>
        <w:fldChar w:fldCharType="separate"/>
      </w:r>
      <w:r>
        <w:rPr>
          <w:noProof/>
        </w:rPr>
        <w:t>87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0428B5">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_Toc442188816 \h </w:instrText>
      </w:r>
      <w:r>
        <w:rPr>
          <w:noProof/>
        </w:rPr>
      </w:r>
      <w:r>
        <w:rPr>
          <w:noProof/>
        </w:rPr>
        <w:fldChar w:fldCharType="separate"/>
      </w:r>
      <w:r>
        <w:rPr>
          <w:noProof/>
        </w:rPr>
        <w:t>88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_Toc442188817 \h </w:instrText>
      </w:r>
      <w:r>
        <w:rPr>
          <w:noProof/>
        </w:rPr>
      </w:r>
      <w:r>
        <w:rPr>
          <w:noProof/>
        </w:rPr>
        <w:fldChar w:fldCharType="separate"/>
      </w:r>
      <w:r>
        <w:rPr>
          <w:noProof/>
        </w:rPr>
        <w:t>91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3-34</w:t>
      </w:r>
      <w:r>
        <w:rPr>
          <w:noProof/>
        </w:rPr>
        <w:t>: The flat fielding coefficients for 750 nm.</w:t>
      </w:r>
      <w:r>
        <w:rPr>
          <w:noProof/>
        </w:rPr>
        <w:tab/>
      </w:r>
      <w:r>
        <w:rPr>
          <w:noProof/>
        </w:rPr>
        <w:fldChar w:fldCharType="begin"/>
      </w:r>
      <w:r>
        <w:rPr>
          <w:noProof/>
        </w:rPr>
        <w:instrText xml:space="preserve"> PAGEREF _Toc442188818 \h </w:instrText>
      </w:r>
      <w:r>
        <w:rPr>
          <w:noProof/>
        </w:rPr>
      </w:r>
      <w:r>
        <w:rPr>
          <w:noProof/>
        </w:rPr>
        <w:fldChar w:fldCharType="separate"/>
      </w:r>
      <w:r>
        <w:rPr>
          <w:noProof/>
        </w:rPr>
        <w:t>92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4-1:</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_Toc442188819 \h </w:instrText>
      </w:r>
      <w:r>
        <w:rPr>
          <w:noProof/>
        </w:rPr>
      </w:r>
      <w:r>
        <w:rPr>
          <w:noProof/>
        </w:rPr>
        <w:fldChar w:fldCharType="separate"/>
      </w:r>
      <w:r>
        <w:rPr>
          <w:noProof/>
        </w:rPr>
        <w:t>97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4-2:</w:t>
      </w:r>
      <w:r>
        <w:rPr>
          <w:noProof/>
        </w:rP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r>
        <w:rPr>
          <w:noProof/>
        </w:rPr>
        <w:tab/>
      </w:r>
      <w:r>
        <w:rPr>
          <w:noProof/>
        </w:rPr>
        <w:fldChar w:fldCharType="begin"/>
      </w:r>
      <w:r>
        <w:rPr>
          <w:noProof/>
        </w:rPr>
        <w:instrText xml:space="preserve"> PAGEREF _Toc442188820 \h </w:instrText>
      </w:r>
      <w:r>
        <w:rPr>
          <w:noProof/>
        </w:rPr>
      </w:r>
      <w:r>
        <w:rPr>
          <w:noProof/>
        </w:rPr>
        <w:fldChar w:fldCharType="separate"/>
      </w:r>
      <w:r>
        <w:rPr>
          <w:noProof/>
        </w:rPr>
        <w:t>101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4-3:</w:t>
      </w:r>
      <w:r>
        <w:rPr>
          <w:noProof/>
        </w:rPr>
        <w:t xml:space="preserve"> Similar to Figure 4-2 except the 15.5 km altitude is selected across a range of SSA.</w:t>
      </w:r>
      <w:r>
        <w:rPr>
          <w:noProof/>
        </w:rPr>
        <w:tab/>
      </w:r>
      <w:r>
        <w:rPr>
          <w:noProof/>
        </w:rPr>
        <w:fldChar w:fldCharType="begin"/>
      </w:r>
      <w:r>
        <w:rPr>
          <w:noProof/>
        </w:rPr>
        <w:instrText xml:space="preserve"> PAGEREF _Toc442188821 \h </w:instrText>
      </w:r>
      <w:r>
        <w:rPr>
          <w:noProof/>
        </w:rPr>
      </w:r>
      <w:r>
        <w:rPr>
          <w:noProof/>
        </w:rPr>
        <w:fldChar w:fldCharType="separate"/>
      </w:r>
      <w:r>
        <w:rPr>
          <w:noProof/>
        </w:rPr>
        <w:t>102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4-4:</w:t>
      </w:r>
      <w:r>
        <w:rPr>
          <w:noProof/>
        </w:rP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r>
        <w:rPr>
          <w:noProof/>
        </w:rPr>
        <w:tab/>
      </w:r>
      <w:r>
        <w:rPr>
          <w:noProof/>
        </w:rPr>
        <w:fldChar w:fldCharType="begin"/>
      </w:r>
      <w:r>
        <w:rPr>
          <w:noProof/>
        </w:rPr>
        <w:instrText xml:space="preserve"> PAGEREF _Toc442188822 \h </w:instrText>
      </w:r>
      <w:r>
        <w:rPr>
          <w:noProof/>
        </w:rPr>
      </w:r>
      <w:r>
        <w:rPr>
          <w:noProof/>
        </w:rPr>
        <w:fldChar w:fldCharType="separate"/>
      </w:r>
      <w:r>
        <w:rPr>
          <w:noProof/>
        </w:rPr>
        <w:t>103</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4-5:</w:t>
      </w:r>
      <w:r>
        <w:rPr>
          <w:noProof/>
        </w:rPr>
        <w:t xml:space="preserve"> Similar to Figure 2 except only 750 nm wavelength is observed and the aerosol concentration has been scaled to determine where the signal saturated with aerosol.</w:t>
      </w:r>
      <w:r>
        <w:rPr>
          <w:noProof/>
        </w:rPr>
        <w:tab/>
      </w:r>
      <w:r>
        <w:rPr>
          <w:noProof/>
        </w:rPr>
        <w:fldChar w:fldCharType="begin"/>
      </w:r>
      <w:r>
        <w:rPr>
          <w:noProof/>
        </w:rPr>
        <w:instrText xml:space="preserve"> PAGEREF _Toc442188823 \h </w:instrText>
      </w:r>
      <w:r>
        <w:rPr>
          <w:noProof/>
        </w:rPr>
      </w:r>
      <w:r>
        <w:rPr>
          <w:noProof/>
        </w:rPr>
        <w:fldChar w:fldCharType="separate"/>
      </w:r>
      <w:r>
        <w:rPr>
          <w:noProof/>
        </w:rPr>
        <w:t>105</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4-6:</w:t>
      </w:r>
      <w:r>
        <w:rPr>
          <w:noProof/>
        </w:rPr>
        <w:t xml:space="preserve"> Percent differences of the retrieved aerosol profiles for the scalar retrieval versus the vector retrieval. Each column represents a different particle size distribution and the labels can be cross referenced in Table 1.</w:t>
      </w:r>
      <w:r>
        <w:rPr>
          <w:noProof/>
        </w:rPr>
        <w:tab/>
      </w:r>
      <w:r>
        <w:rPr>
          <w:noProof/>
        </w:rPr>
        <w:fldChar w:fldCharType="begin"/>
      </w:r>
      <w:r>
        <w:rPr>
          <w:noProof/>
        </w:rPr>
        <w:instrText xml:space="preserve"> PAGEREF _Toc442188824 \h </w:instrText>
      </w:r>
      <w:r>
        <w:rPr>
          <w:noProof/>
        </w:rPr>
      </w:r>
      <w:r>
        <w:rPr>
          <w:noProof/>
        </w:rPr>
        <w:fldChar w:fldCharType="separate"/>
      </w:r>
      <w:r>
        <w:rPr>
          <w:noProof/>
        </w:rPr>
        <w:t>106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4-7:</w:t>
      </w:r>
      <w:r>
        <w:rPr>
          <w:noProof/>
        </w:rP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r>
        <w:rPr>
          <w:noProof/>
        </w:rPr>
        <w:tab/>
      </w:r>
      <w:r>
        <w:rPr>
          <w:noProof/>
        </w:rPr>
        <w:fldChar w:fldCharType="begin"/>
      </w:r>
      <w:r>
        <w:rPr>
          <w:noProof/>
        </w:rPr>
        <w:instrText xml:space="preserve"> PAGEREF _Toc442188825 \h </w:instrText>
      </w:r>
      <w:r>
        <w:rPr>
          <w:noProof/>
        </w:rPr>
      </w:r>
      <w:r>
        <w:rPr>
          <w:noProof/>
        </w:rPr>
        <w:fldChar w:fldCharType="separate"/>
      </w:r>
      <w:r>
        <w:rPr>
          <w:noProof/>
        </w:rPr>
        <w:t>108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4-8:</w:t>
      </w:r>
      <w:r>
        <w:rPr>
          <w:noProof/>
        </w:rPr>
        <w:t xml:space="preserve">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r>
        <w:rPr>
          <w:noProof/>
        </w:rPr>
        <w:tab/>
      </w:r>
      <w:r>
        <w:rPr>
          <w:noProof/>
        </w:rPr>
        <w:fldChar w:fldCharType="begin"/>
      </w:r>
      <w:r>
        <w:rPr>
          <w:noProof/>
        </w:rPr>
        <w:instrText xml:space="preserve"> PAGEREF _Toc442188826 \h </w:instrText>
      </w:r>
      <w:r>
        <w:rPr>
          <w:noProof/>
        </w:rPr>
      </w:r>
      <w:r>
        <w:rPr>
          <w:noProof/>
        </w:rPr>
        <w:fldChar w:fldCharType="separate"/>
      </w:r>
      <w:r>
        <w:rPr>
          <w:noProof/>
        </w:rPr>
        <w:t>116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_Toc442188827 \h </w:instrText>
      </w:r>
      <w:r>
        <w:rPr>
          <w:noProof/>
        </w:rPr>
      </w:r>
      <w:r>
        <w:rPr>
          <w:noProof/>
        </w:rPr>
        <w:fldChar w:fldCharType="separate"/>
      </w:r>
      <w:r>
        <w:rPr>
          <w:noProof/>
        </w:rPr>
        <w:t>120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_Toc442188828 \h </w:instrText>
      </w:r>
      <w:r>
        <w:rPr>
          <w:noProof/>
        </w:rPr>
      </w:r>
      <w:r>
        <w:rPr>
          <w:noProof/>
        </w:rPr>
        <w:fldChar w:fldCharType="separate"/>
      </w:r>
      <w:r>
        <w:rPr>
          <w:noProof/>
        </w:rPr>
        <w:t>122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_Toc442188829 \h </w:instrText>
      </w:r>
      <w:r>
        <w:rPr>
          <w:noProof/>
        </w:rPr>
      </w:r>
      <w:r>
        <w:rPr>
          <w:noProof/>
        </w:rPr>
        <w:fldChar w:fldCharType="separate"/>
      </w:r>
      <w:r>
        <w:rPr>
          <w:noProof/>
        </w:rPr>
        <w:t>124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_Toc442188830 \h </w:instrText>
      </w:r>
      <w:r>
        <w:rPr>
          <w:noProof/>
        </w:rPr>
      </w:r>
      <w:r>
        <w:rPr>
          <w:noProof/>
        </w:rPr>
        <w:fldChar w:fldCharType="separate"/>
      </w:r>
      <w:r>
        <w:rPr>
          <w:noProof/>
        </w:rPr>
        <w:t>126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_Toc442188831 \h </w:instrText>
      </w:r>
      <w:r>
        <w:rPr>
          <w:noProof/>
        </w:rPr>
      </w:r>
      <w:r>
        <w:rPr>
          <w:noProof/>
        </w:rPr>
        <w:fldChar w:fldCharType="separate"/>
      </w:r>
      <w:r>
        <w:rPr>
          <w:noProof/>
        </w:rPr>
        <w:t>128</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5-6:</w:t>
      </w:r>
      <w:r>
        <w:rPr>
          <w:noProof/>
        </w:rPr>
        <w:t xml:space="preserve"> (a) Final calibrated 750 nm image, taken at 13:57 UTC located at 48.55</w:t>
      </w:r>
      <w:r w:rsidRPr="000428B5">
        <w:rPr>
          <w:noProof/>
          <w:vertAlign w:val="superscript"/>
        </w:rPr>
        <w:t>o</w:t>
      </w:r>
      <w:r>
        <w:rPr>
          <w:noProof/>
        </w:rPr>
        <w:t>N, 80.00</w:t>
      </w:r>
      <w:r w:rsidRPr="000428B5">
        <w:rPr>
          <w:noProof/>
          <w:vertAlign w:val="superscript"/>
        </w:rPr>
        <w:t>o</w:t>
      </w:r>
      <w:r>
        <w:rPr>
          <w:noProof/>
        </w:rPr>
        <w:t>W with a SZA and SSA of 63</w:t>
      </w:r>
      <w:r w:rsidRPr="000428B5">
        <w:rPr>
          <w:noProof/>
          <w:vertAlign w:val="superscript"/>
        </w:rPr>
        <w:t>o</w:t>
      </w:r>
      <w:r>
        <w:rPr>
          <w:noProof/>
        </w:rPr>
        <w:t xml:space="preserve"> and 98</w:t>
      </w:r>
      <w:r w:rsidRPr="000428B5">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_Toc442188832 \h </w:instrText>
      </w:r>
      <w:r>
        <w:rPr>
          <w:noProof/>
        </w:rPr>
      </w:r>
      <w:r>
        <w:rPr>
          <w:noProof/>
        </w:rPr>
        <w:fldChar w:fldCharType="separate"/>
      </w:r>
      <w:r>
        <w:rPr>
          <w:noProof/>
        </w:rPr>
        <w:t>129</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0428B5">
        <w:rPr>
          <w:noProof/>
          <w:vertAlign w:val="superscript"/>
        </w:rPr>
        <w:t>o</w:t>
      </w:r>
      <w:r>
        <w:rPr>
          <w:noProof/>
        </w:rPr>
        <w:t xml:space="preserve"> and solid lines are profile where the SZA is less than 90</w:t>
      </w:r>
      <w:r w:rsidRPr="000428B5">
        <w:rPr>
          <w:noProof/>
          <w:vertAlign w:val="superscript"/>
        </w:rPr>
        <w:t>o</w:t>
      </w:r>
      <w:r>
        <w:rPr>
          <w:noProof/>
        </w:rPr>
        <w:t>.</w:t>
      </w:r>
      <w:r>
        <w:rPr>
          <w:noProof/>
        </w:rPr>
        <w:tab/>
      </w:r>
      <w:r>
        <w:rPr>
          <w:noProof/>
        </w:rPr>
        <w:fldChar w:fldCharType="begin"/>
      </w:r>
      <w:r>
        <w:rPr>
          <w:noProof/>
        </w:rPr>
        <w:instrText xml:space="preserve"> PAGEREF _Toc442188833 \h </w:instrText>
      </w:r>
      <w:r>
        <w:rPr>
          <w:noProof/>
        </w:rPr>
      </w:r>
      <w:r>
        <w:rPr>
          <w:noProof/>
        </w:rPr>
        <w:fldChar w:fldCharType="separate"/>
      </w:r>
      <w:r>
        <w:rPr>
          <w:noProof/>
        </w:rPr>
        <w:t>131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5-8</w:t>
      </w:r>
      <w:r>
        <w:rPr>
          <w:noProof/>
        </w:rPr>
        <w:t>: Relative radiances spectrally from 650 nm to 950 nm as measured from ALI at approximately 14:20 UTC consisting of images number 204 to 216 looking 90</w:t>
      </w:r>
      <w:r w:rsidRPr="000428B5">
        <w:rPr>
          <w:noProof/>
          <w:vertAlign w:val="superscript"/>
        </w:rPr>
        <w:t>o</w:t>
      </w:r>
      <w:r>
        <w:rPr>
          <w:noProof/>
        </w:rPr>
        <w:t xml:space="preserve"> in the azimuth from the sun facing southwards. These spectral profiles are presented at several tangent altitudes with a horizontal look direction of 0</w:t>
      </w:r>
      <w:r w:rsidRPr="000428B5">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_Toc442188834 \h </w:instrText>
      </w:r>
      <w:r>
        <w:rPr>
          <w:noProof/>
        </w:rPr>
      </w:r>
      <w:r>
        <w:rPr>
          <w:noProof/>
        </w:rPr>
        <w:fldChar w:fldCharType="separate"/>
      </w:r>
      <w:r>
        <w:rPr>
          <w:noProof/>
        </w:rPr>
        <w:t>132</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0428B5">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_Toc442188835 \h </w:instrText>
      </w:r>
      <w:r>
        <w:rPr>
          <w:noProof/>
        </w:rPr>
      </w:r>
      <w:r>
        <w:rPr>
          <w:noProof/>
        </w:rPr>
        <w:fldChar w:fldCharType="separate"/>
      </w:r>
      <w:r>
        <w:rPr>
          <w:noProof/>
        </w:rPr>
        <w:t>136</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_Toc442188836 \h </w:instrText>
      </w:r>
      <w:r>
        <w:rPr>
          <w:noProof/>
        </w:rPr>
      </w:r>
      <w:r>
        <w:rPr>
          <w:noProof/>
        </w:rPr>
        <w:fldChar w:fldCharType="separate"/>
      </w:r>
      <w:r>
        <w:rPr>
          <w:noProof/>
        </w:rPr>
        <w:t>139</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5-11:</w:t>
      </w:r>
      <w:r>
        <w:rPr>
          <w:noProof/>
        </w:rPr>
        <w:t xml:space="preserve"> Left is the retrieved aerosol extinction profiles from the last complete imaging cycle consisting of images 205 to 216 from the 0.0</w:t>
      </w:r>
      <w:r w:rsidRPr="000428B5">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_Toc442188837 \h </w:instrText>
      </w:r>
      <w:r>
        <w:rPr>
          <w:noProof/>
        </w:rPr>
      </w:r>
      <w:r>
        <w:rPr>
          <w:noProof/>
        </w:rPr>
        <w:fldChar w:fldCharType="separate"/>
      </w:r>
      <w:r>
        <w:rPr>
          <w:noProof/>
        </w:rPr>
        <w:t>140</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_Toc442188838 \h </w:instrText>
      </w:r>
      <w:r>
        <w:rPr>
          <w:noProof/>
        </w:rPr>
      </w:r>
      <w:r>
        <w:rPr>
          <w:noProof/>
        </w:rPr>
        <w:fldChar w:fldCharType="separate"/>
      </w:r>
      <w:r>
        <w:rPr>
          <w:noProof/>
        </w:rPr>
        <w:t>141</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5-13:</w:t>
      </w:r>
      <w:r>
        <w:rPr>
          <w:noProof/>
        </w:rPr>
        <w:t xml:space="preserve"> Reproduced from Figure 4 of </w:t>
      </w:r>
      <w:r w:rsidRPr="000428B5">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_Toc442188839 \h </w:instrText>
      </w:r>
      <w:r>
        <w:rPr>
          <w:noProof/>
        </w:rPr>
      </w:r>
      <w:r>
        <w:rPr>
          <w:noProof/>
        </w:rPr>
        <w:fldChar w:fldCharType="separate"/>
      </w:r>
      <w:r>
        <w:rPr>
          <w:noProof/>
        </w:rPr>
        <w:t>143</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_Toc442188840 \h </w:instrText>
      </w:r>
      <w:r>
        <w:rPr>
          <w:noProof/>
        </w:rPr>
      </w:r>
      <w:r>
        <w:rPr>
          <w:noProof/>
        </w:rPr>
        <w:fldChar w:fldCharType="separate"/>
      </w:r>
      <w:r>
        <w:rPr>
          <w:noProof/>
        </w:rPr>
        <w:t>144</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w:t>
      </w:r>
      <w:r>
        <w:rPr>
          <w:noProof/>
        </w:rPr>
        <w:tab/>
      </w:r>
      <w:r>
        <w:rPr>
          <w:noProof/>
        </w:rPr>
        <w:fldChar w:fldCharType="begin"/>
      </w:r>
      <w:r>
        <w:rPr>
          <w:noProof/>
        </w:rPr>
        <w:instrText xml:space="preserve"> PAGEREF _Toc442188841 \h </w:instrText>
      </w:r>
      <w:r>
        <w:rPr>
          <w:noProof/>
        </w:rPr>
      </w:r>
      <w:r>
        <w:rPr>
          <w:noProof/>
        </w:rPr>
        <w:fldChar w:fldCharType="separate"/>
      </w:r>
      <w:r>
        <w:rPr>
          <w:noProof/>
        </w:rPr>
        <w:t>147</w:t>
      </w:r>
      <w:r>
        <w:rPr>
          <w:noProof/>
        </w:rPr>
        <w:fldChar w:fldCharType="end"/>
      </w:r>
    </w:p>
    <w:p w:rsidR="0006516E" w:rsidRDefault="0006516E">
      <w:pPr>
        <w:pStyle w:val="TableofFigures"/>
        <w:rPr>
          <w:rFonts w:asciiTheme="minorHAnsi" w:eastAsiaTheme="minorEastAsia" w:hAnsiTheme="minorHAnsi" w:cstheme="minorBidi"/>
          <w:noProof/>
          <w:sz w:val="22"/>
          <w:szCs w:val="22"/>
          <w:lang w:val="en-CA" w:eastAsia="en-CA"/>
        </w:rPr>
      </w:pPr>
      <w:r w:rsidRPr="000428B5">
        <w:rPr>
          <w:b/>
          <w:noProof/>
        </w:rPr>
        <w:t>Figure A-1:</w:t>
      </w:r>
      <w:r>
        <w:rPr>
          <w:noProof/>
        </w:rPr>
        <w:t xml:space="preserve"> </w:t>
      </w:r>
      <w:r w:rsidRPr="000428B5">
        <w:rPr>
          <w:noProof/>
          <w:color w:val="000000"/>
        </w:rPr>
        <w:t>The transmission and extinction ratios of the LPVIS100 used in ALI.</w:t>
      </w:r>
      <w:r>
        <w:rPr>
          <w:noProof/>
        </w:rPr>
        <w:tab/>
      </w:r>
      <w:r>
        <w:rPr>
          <w:noProof/>
        </w:rPr>
        <w:fldChar w:fldCharType="begin"/>
      </w:r>
      <w:r>
        <w:rPr>
          <w:noProof/>
        </w:rPr>
        <w:instrText xml:space="preserve"> PAGEREF _Toc442188842 \h </w:instrText>
      </w:r>
      <w:r>
        <w:rPr>
          <w:noProof/>
        </w:rPr>
      </w:r>
      <w:r>
        <w:rPr>
          <w:noProof/>
        </w:rPr>
        <w:fldChar w:fldCharType="separate"/>
      </w:r>
      <w:r>
        <w:rPr>
          <w:noProof/>
        </w:rPr>
        <w:t>166</w:t>
      </w:r>
      <w:r>
        <w:rPr>
          <w:noProof/>
        </w:rPr>
        <w:fldChar w:fldCharType="end"/>
      </w:r>
    </w:p>
    <w:p w:rsidR="0006516E" w:rsidRDefault="0006516E" w:rsidP="00EA0403">
      <w:pPr>
        <w:pStyle w:val="TableofFigures"/>
        <w:tabs>
          <w:tab w:val="clear" w:pos="8640"/>
          <w:tab w:val="right" w:leader="dot" w:pos="9356"/>
        </w:tabs>
        <w:ind w:right="571"/>
        <w:jc w:val="both"/>
        <w:sectPr w:rsidR="0006516E"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CA9" w:rsidRDefault="00BF7CA9">
      <w:r>
        <w:separator/>
      </w:r>
    </w:p>
  </w:endnote>
  <w:endnote w:type="continuationSeparator" w:id="0">
    <w:p w:rsidR="00BF7CA9" w:rsidRDefault="00BF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6E" w:rsidRDefault="0006516E">
    <w:pPr>
      <w:pStyle w:val="Footer"/>
      <w:framePr w:wrap="around" w:vAnchor="text" w:hAnchor="margin" w:xAlign="right" w:y="1"/>
      <w:jc w:val="left"/>
      <w:rPr>
        <w:rStyle w:val="PageNumber"/>
      </w:rPr>
    </w:pPr>
  </w:p>
  <w:p w:rsidR="0006516E" w:rsidRDefault="0006516E">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CA9" w:rsidRDefault="00BF7CA9">
      <w:r>
        <w:separator/>
      </w:r>
    </w:p>
  </w:footnote>
  <w:footnote w:type="continuationSeparator" w:id="0">
    <w:p w:rsidR="00BF7CA9" w:rsidRDefault="00BF7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6E" w:rsidRDefault="000651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D16EA"/>
    <w:rsid w:val="000E4FAE"/>
    <w:rsid w:val="00144A38"/>
    <w:rsid w:val="00182528"/>
    <w:rsid w:val="001A58FA"/>
    <w:rsid w:val="00256B80"/>
    <w:rsid w:val="003E69C5"/>
    <w:rsid w:val="00433296"/>
    <w:rsid w:val="00481DB9"/>
    <w:rsid w:val="004C6F9C"/>
    <w:rsid w:val="004D396B"/>
    <w:rsid w:val="0054143C"/>
    <w:rsid w:val="005B7768"/>
    <w:rsid w:val="0060041C"/>
    <w:rsid w:val="00647A36"/>
    <w:rsid w:val="00683B20"/>
    <w:rsid w:val="006B42CE"/>
    <w:rsid w:val="006F78B3"/>
    <w:rsid w:val="00703764"/>
    <w:rsid w:val="00707681"/>
    <w:rsid w:val="0074793D"/>
    <w:rsid w:val="00772A7E"/>
    <w:rsid w:val="00796C2B"/>
    <w:rsid w:val="007B36FE"/>
    <w:rsid w:val="008A56A7"/>
    <w:rsid w:val="00933149"/>
    <w:rsid w:val="00944D62"/>
    <w:rsid w:val="00976E22"/>
    <w:rsid w:val="009B63FA"/>
    <w:rsid w:val="009C189B"/>
    <w:rsid w:val="009C2E2E"/>
    <w:rsid w:val="009E699B"/>
    <w:rsid w:val="00A76EAF"/>
    <w:rsid w:val="00B742DC"/>
    <w:rsid w:val="00BA3259"/>
    <w:rsid w:val="00BD6655"/>
    <w:rsid w:val="00BE631B"/>
    <w:rsid w:val="00BF7CA9"/>
    <w:rsid w:val="00D15B28"/>
    <w:rsid w:val="00D9207C"/>
    <w:rsid w:val="00DC2C9F"/>
    <w:rsid w:val="00E32C5B"/>
    <w:rsid w:val="00E44313"/>
    <w:rsid w:val="00E72EC9"/>
    <w:rsid w:val="00EA540D"/>
    <w:rsid w:val="00EF22B0"/>
    <w:rsid w:val="00F464FA"/>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2015-08-27T23:01:00Z</dcterms:created>
  <dcterms:modified xsi:type="dcterms:W3CDTF">2016-01-08T21:49:00Z</dcterms:modified>
</cp:coreProperties>
</file>