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6DB92EB6" w:rsidR="006821CD" w:rsidRPr="007670ED" w:rsidRDefault="005E404C" w:rsidP="00A32EE8">
      <w:pPr>
        <w:spacing w:before="120"/>
        <w:jc w:val="center"/>
        <w:rPr>
          <w:lang w:val="en-GB"/>
        </w:rPr>
      </w:pPr>
      <w:r>
        <w:rPr>
          <w:lang w:val="en-GB"/>
        </w:rPr>
        <w:t xml:space="preserve">Version 7.0 </w:t>
      </w:r>
      <w:r w:rsidR="00757A9B">
        <w:rPr>
          <w:lang w:val="en-GB"/>
        </w:rPr>
        <w:t>(</w:t>
      </w:r>
      <w:r w:rsidR="00B327D0">
        <w:rPr>
          <w:lang w:val="en-GB"/>
        </w:rPr>
        <w:t>March</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52D302BC"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E763A6">
          <w:rPr>
            <w:noProof/>
            <w:webHidden/>
          </w:rPr>
          <w:t>1</w:t>
        </w:r>
        <w:r w:rsidR="00AB7A09">
          <w:rPr>
            <w:noProof/>
            <w:webHidden/>
          </w:rPr>
          <w:fldChar w:fldCharType="end"/>
        </w:r>
      </w:hyperlink>
    </w:p>
    <w:p w14:paraId="5322FAFE" w14:textId="1E4054FA" w:rsidR="00AB7A09" w:rsidRPr="003122F8" w:rsidRDefault="00737F9D">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E763A6">
          <w:rPr>
            <w:noProof/>
            <w:webHidden/>
          </w:rPr>
          <w:t>4</w:t>
        </w:r>
        <w:r w:rsidR="00AB7A09">
          <w:rPr>
            <w:noProof/>
            <w:webHidden/>
          </w:rPr>
          <w:fldChar w:fldCharType="end"/>
        </w:r>
      </w:hyperlink>
    </w:p>
    <w:p w14:paraId="0003B85F" w14:textId="5BAE4D47" w:rsidR="00AB7A09" w:rsidRPr="003122F8" w:rsidRDefault="00737F9D">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E763A6">
          <w:rPr>
            <w:noProof/>
            <w:webHidden/>
          </w:rPr>
          <w:t>5</w:t>
        </w:r>
        <w:r w:rsidR="00AB7A09">
          <w:rPr>
            <w:noProof/>
            <w:webHidden/>
          </w:rPr>
          <w:fldChar w:fldCharType="end"/>
        </w:r>
      </w:hyperlink>
    </w:p>
    <w:p w14:paraId="29C4BCAD" w14:textId="0D50B221" w:rsidR="00AB7A09" w:rsidRPr="003122F8" w:rsidRDefault="00737F9D">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E763A6">
          <w:rPr>
            <w:noProof/>
            <w:webHidden/>
          </w:rPr>
          <w:t>5</w:t>
        </w:r>
        <w:r w:rsidR="00AB7A09">
          <w:rPr>
            <w:noProof/>
            <w:webHidden/>
          </w:rPr>
          <w:fldChar w:fldCharType="end"/>
        </w:r>
      </w:hyperlink>
    </w:p>
    <w:p w14:paraId="7B86FA1C" w14:textId="66B9C3A8" w:rsidR="00AB7A09" w:rsidRPr="003122F8" w:rsidRDefault="00737F9D">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E763A6">
          <w:rPr>
            <w:noProof/>
            <w:webHidden/>
          </w:rPr>
          <w:t>5</w:t>
        </w:r>
        <w:r w:rsidR="00AB7A09">
          <w:rPr>
            <w:noProof/>
            <w:webHidden/>
          </w:rPr>
          <w:fldChar w:fldCharType="end"/>
        </w:r>
      </w:hyperlink>
    </w:p>
    <w:p w14:paraId="0435F3DB" w14:textId="69AA638A" w:rsidR="00AB7A09" w:rsidRPr="003122F8" w:rsidRDefault="00737F9D">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E763A6">
          <w:rPr>
            <w:noProof/>
            <w:webHidden/>
          </w:rPr>
          <w:t>7</w:t>
        </w:r>
        <w:r w:rsidR="00AB7A09">
          <w:rPr>
            <w:noProof/>
            <w:webHidden/>
          </w:rPr>
          <w:fldChar w:fldCharType="end"/>
        </w:r>
      </w:hyperlink>
    </w:p>
    <w:p w14:paraId="24D8D52D" w14:textId="12EC3E3B" w:rsidR="00AB7A09" w:rsidRPr="003122F8" w:rsidRDefault="00737F9D">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E763A6">
          <w:rPr>
            <w:noProof/>
            <w:webHidden/>
          </w:rPr>
          <w:t>8</w:t>
        </w:r>
        <w:r w:rsidR="00AB7A09">
          <w:rPr>
            <w:noProof/>
            <w:webHidden/>
          </w:rPr>
          <w:fldChar w:fldCharType="end"/>
        </w:r>
      </w:hyperlink>
    </w:p>
    <w:p w14:paraId="2D76F72A" w14:textId="2CCFC029" w:rsidR="00AB7A09" w:rsidRPr="003122F8" w:rsidRDefault="00737F9D">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E763A6">
          <w:rPr>
            <w:noProof/>
            <w:webHidden/>
          </w:rPr>
          <w:t>10</w:t>
        </w:r>
        <w:r w:rsidR="00AB7A09">
          <w:rPr>
            <w:noProof/>
            <w:webHidden/>
          </w:rPr>
          <w:fldChar w:fldCharType="end"/>
        </w:r>
      </w:hyperlink>
    </w:p>
    <w:p w14:paraId="47F4DB9A" w14:textId="12000B37" w:rsidR="00AB7A09" w:rsidRPr="003122F8" w:rsidRDefault="00737F9D">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E763A6">
          <w:rPr>
            <w:noProof/>
            <w:webHidden/>
          </w:rPr>
          <w:t>10</w:t>
        </w:r>
        <w:r w:rsidR="00AB7A09">
          <w:rPr>
            <w:noProof/>
            <w:webHidden/>
          </w:rPr>
          <w:fldChar w:fldCharType="end"/>
        </w:r>
      </w:hyperlink>
    </w:p>
    <w:p w14:paraId="17997884" w14:textId="6CAD49EA" w:rsidR="00AB7A09" w:rsidRPr="003122F8" w:rsidRDefault="00737F9D">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E763A6">
          <w:rPr>
            <w:noProof/>
            <w:webHidden/>
          </w:rPr>
          <w:t>10</w:t>
        </w:r>
        <w:r w:rsidR="00AB7A09">
          <w:rPr>
            <w:noProof/>
            <w:webHidden/>
          </w:rPr>
          <w:fldChar w:fldCharType="end"/>
        </w:r>
      </w:hyperlink>
    </w:p>
    <w:p w14:paraId="75B1240F" w14:textId="56B6F65D" w:rsidR="00AB7A09" w:rsidRPr="003122F8" w:rsidRDefault="00737F9D">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E763A6">
          <w:rPr>
            <w:noProof/>
            <w:webHidden/>
          </w:rPr>
          <w:t>10</w:t>
        </w:r>
        <w:r w:rsidR="00AB7A09">
          <w:rPr>
            <w:noProof/>
            <w:webHidden/>
          </w:rPr>
          <w:fldChar w:fldCharType="end"/>
        </w:r>
      </w:hyperlink>
    </w:p>
    <w:p w14:paraId="27C157ED" w14:textId="249B6D07" w:rsidR="00AB7A09" w:rsidRPr="003122F8" w:rsidRDefault="00737F9D">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E763A6">
          <w:rPr>
            <w:noProof/>
            <w:webHidden/>
          </w:rPr>
          <w:t>11</w:t>
        </w:r>
        <w:r w:rsidR="00AB7A09">
          <w:rPr>
            <w:noProof/>
            <w:webHidden/>
          </w:rPr>
          <w:fldChar w:fldCharType="end"/>
        </w:r>
      </w:hyperlink>
    </w:p>
    <w:p w14:paraId="3F56D7F8" w14:textId="4BBA3338" w:rsidR="00AB7A09" w:rsidRPr="003122F8" w:rsidRDefault="00737F9D">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E763A6">
          <w:rPr>
            <w:noProof/>
            <w:webHidden/>
          </w:rPr>
          <w:t>11</w:t>
        </w:r>
        <w:r w:rsidR="00AB7A09">
          <w:rPr>
            <w:noProof/>
            <w:webHidden/>
          </w:rPr>
          <w:fldChar w:fldCharType="end"/>
        </w:r>
      </w:hyperlink>
    </w:p>
    <w:p w14:paraId="01A819C4" w14:textId="12C16EC9" w:rsidR="00AB7A09" w:rsidRPr="003122F8" w:rsidRDefault="00737F9D">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E763A6">
          <w:rPr>
            <w:noProof/>
            <w:webHidden/>
          </w:rPr>
          <w:t>11</w:t>
        </w:r>
        <w:r w:rsidR="00AB7A09">
          <w:rPr>
            <w:noProof/>
            <w:webHidden/>
          </w:rPr>
          <w:fldChar w:fldCharType="end"/>
        </w:r>
      </w:hyperlink>
    </w:p>
    <w:p w14:paraId="28F1316C" w14:textId="6E0F4BE5" w:rsidR="00AB7A09" w:rsidRPr="003122F8" w:rsidRDefault="00737F9D">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E763A6">
          <w:rPr>
            <w:noProof/>
            <w:webHidden/>
          </w:rPr>
          <w:t>12</w:t>
        </w:r>
        <w:r w:rsidR="00AB7A09">
          <w:rPr>
            <w:noProof/>
            <w:webHidden/>
          </w:rPr>
          <w:fldChar w:fldCharType="end"/>
        </w:r>
      </w:hyperlink>
    </w:p>
    <w:p w14:paraId="4801BF12" w14:textId="270FEE57" w:rsidR="00AB7A09" w:rsidRPr="003122F8" w:rsidRDefault="00737F9D">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E763A6">
          <w:rPr>
            <w:noProof/>
            <w:webHidden/>
          </w:rPr>
          <w:t>12</w:t>
        </w:r>
        <w:r w:rsidR="00AB7A09">
          <w:rPr>
            <w:noProof/>
            <w:webHidden/>
          </w:rPr>
          <w:fldChar w:fldCharType="end"/>
        </w:r>
      </w:hyperlink>
    </w:p>
    <w:p w14:paraId="060BFBC8" w14:textId="4B49DDC4" w:rsidR="00AB7A09" w:rsidRPr="003122F8" w:rsidRDefault="00737F9D">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E763A6">
          <w:rPr>
            <w:noProof/>
            <w:webHidden/>
          </w:rPr>
          <w:t>12</w:t>
        </w:r>
        <w:r w:rsidR="00AB7A09">
          <w:rPr>
            <w:noProof/>
            <w:webHidden/>
          </w:rPr>
          <w:fldChar w:fldCharType="end"/>
        </w:r>
      </w:hyperlink>
    </w:p>
    <w:p w14:paraId="14C6E88C" w14:textId="4838F831" w:rsidR="00AB7A09" w:rsidRPr="003122F8" w:rsidRDefault="00737F9D">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E763A6">
          <w:rPr>
            <w:noProof/>
            <w:webHidden/>
          </w:rPr>
          <w:t>13</w:t>
        </w:r>
        <w:r w:rsidR="00AB7A09">
          <w:rPr>
            <w:noProof/>
            <w:webHidden/>
          </w:rPr>
          <w:fldChar w:fldCharType="end"/>
        </w:r>
      </w:hyperlink>
    </w:p>
    <w:p w14:paraId="2DD401E0" w14:textId="3B96F5A2" w:rsidR="00AB7A09" w:rsidRPr="003122F8" w:rsidRDefault="00737F9D">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E763A6">
          <w:rPr>
            <w:noProof/>
            <w:webHidden/>
          </w:rPr>
          <w:t>13</w:t>
        </w:r>
        <w:r w:rsidR="00AB7A09">
          <w:rPr>
            <w:noProof/>
            <w:webHidden/>
          </w:rPr>
          <w:fldChar w:fldCharType="end"/>
        </w:r>
      </w:hyperlink>
    </w:p>
    <w:p w14:paraId="3958BF00" w14:textId="7E9539F5" w:rsidR="00AB7A09" w:rsidRPr="003122F8" w:rsidRDefault="00737F9D">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E763A6">
          <w:rPr>
            <w:noProof/>
            <w:webHidden/>
          </w:rPr>
          <w:t>13</w:t>
        </w:r>
        <w:r w:rsidR="00AB7A09">
          <w:rPr>
            <w:noProof/>
            <w:webHidden/>
          </w:rPr>
          <w:fldChar w:fldCharType="end"/>
        </w:r>
      </w:hyperlink>
    </w:p>
    <w:p w14:paraId="1CA42790" w14:textId="70E39223" w:rsidR="00AB7A09" w:rsidRPr="003122F8" w:rsidRDefault="00737F9D">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E763A6">
          <w:rPr>
            <w:noProof/>
            <w:webHidden/>
          </w:rPr>
          <w:t>14</w:t>
        </w:r>
        <w:r w:rsidR="00AB7A09">
          <w:rPr>
            <w:noProof/>
            <w:webHidden/>
          </w:rPr>
          <w:fldChar w:fldCharType="end"/>
        </w:r>
      </w:hyperlink>
    </w:p>
    <w:p w14:paraId="608E7A81" w14:textId="39E0CCAB" w:rsidR="00AB7A09" w:rsidRPr="003122F8" w:rsidRDefault="00737F9D">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E763A6">
          <w:rPr>
            <w:noProof/>
            <w:webHidden/>
          </w:rPr>
          <w:t>15</w:t>
        </w:r>
        <w:r w:rsidR="00AB7A09">
          <w:rPr>
            <w:noProof/>
            <w:webHidden/>
          </w:rPr>
          <w:fldChar w:fldCharType="end"/>
        </w:r>
      </w:hyperlink>
    </w:p>
    <w:p w14:paraId="54FE93BC" w14:textId="47E50B11" w:rsidR="00AB7A09" w:rsidRPr="003122F8" w:rsidRDefault="00737F9D">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E763A6">
          <w:rPr>
            <w:noProof/>
            <w:webHidden/>
          </w:rPr>
          <w:t>15</w:t>
        </w:r>
        <w:r w:rsidR="00AB7A09">
          <w:rPr>
            <w:noProof/>
            <w:webHidden/>
          </w:rPr>
          <w:fldChar w:fldCharType="end"/>
        </w:r>
      </w:hyperlink>
    </w:p>
    <w:p w14:paraId="45766A37" w14:textId="7C44ECA9" w:rsidR="00AB7A09" w:rsidRPr="003122F8" w:rsidRDefault="00737F9D">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E763A6">
          <w:rPr>
            <w:noProof/>
            <w:webHidden/>
          </w:rPr>
          <w:t>16</w:t>
        </w:r>
        <w:r w:rsidR="00AB7A09">
          <w:rPr>
            <w:noProof/>
            <w:webHidden/>
          </w:rPr>
          <w:fldChar w:fldCharType="end"/>
        </w:r>
      </w:hyperlink>
    </w:p>
    <w:p w14:paraId="6AD58E6E" w14:textId="30061A67" w:rsidR="00AB7A09" w:rsidRPr="003122F8" w:rsidRDefault="00737F9D">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E763A6">
          <w:rPr>
            <w:noProof/>
            <w:webHidden/>
          </w:rPr>
          <w:t>17</w:t>
        </w:r>
        <w:r w:rsidR="00AB7A09">
          <w:rPr>
            <w:noProof/>
            <w:webHidden/>
          </w:rPr>
          <w:fldChar w:fldCharType="end"/>
        </w:r>
      </w:hyperlink>
    </w:p>
    <w:p w14:paraId="1DC5F29F" w14:textId="41CB34AF" w:rsidR="00AB7A09" w:rsidRPr="003122F8" w:rsidRDefault="00737F9D">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E763A6">
          <w:rPr>
            <w:noProof/>
            <w:webHidden/>
          </w:rPr>
          <w:t>17</w:t>
        </w:r>
        <w:r w:rsidR="00AB7A09">
          <w:rPr>
            <w:noProof/>
            <w:webHidden/>
          </w:rPr>
          <w:fldChar w:fldCharType="end"/>
        </w:r>
      </w:hyperlink>
    </w:p>
    <w:p w14:paraId="4DF97D86" w14:textId="40DC5A7D" w:rsidR="00AB7A09" w:rsidRPr="003122F8" w:rsidRDefault="00737F9D">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E763A6">
          <w:rPr>
            <w:noProof/>
            <w:webHidden/>
          </w:rPr>
          <w:t>18</w:t>
        </w:r>
        <w:r w:rsidR="00AB7A09">
          <w:rPr>
            <w:noProof/>
            <w:webHidden/>
          </w:rPr>
          <w:fldChar w:fldCharType="end"/>
        </w:r>
      </w:hyperlink>
    </w:p>
    <w:p w14:paraId="77516D9F" w14:textId="65FD011C" w:rsidR="00AB7A09" w:rsidRPr="003122F8" w:rsidRDefault="00737F9D">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E763A6">
          <w:rPr>
            <w:noProof/>
            <w:webHidden/>
          </w:rPr>
          <w:t>19</w:t>
        </w:r>
        <w:r w:rsidR="00AB7A09">
          <w:rPr>
            <w:noProof/>
            <w:webHidden/>
          </w:rPr>
          <w:fldChar w:fldCharType="end"/>
        </w:r>
      </w:hyperlink>
    </w:p>
    <w:p w14:paraId="09E754D7" w14:textId="19D8AB2C" w:rsidR="00AB7A09" w:rsidRPr="003122F8" w:rsidRDefault="00737F9D">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E763A6">
          <w:rPr>
            <w:noProof/>
            <w:webHidden/>
          </w:rPr>
          <w:t>19</w:t>
        </w:r>
        <w:r w:rsidR="00AB7A09">
          <w:rPr>
            <w:noProof/>
            <w:webHidden/>
          </w:rPr>
          <w:fldChar w:fldCharType="end"/>
        </w:r>
      </w:hyperlink>
    </w:p>
    <w:p w14:paraId="0AAE7B20" w14:textId="249A42CD" w:rsidR="00AB7A09" w:rsidRPr="003122F8" w:rsidRDefault="00737F9D">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E763A6">
          <w:rPr>
            <w:noProof/>
            <w:webHidden/>
          </w:rPr>
          <w:t>20</w:t>
        </w:r>
        <w:r w:rsidR="00AB7A09">
          <w:rPr>
            <w:noProof/>
            <w:webHidden/>
          </w:rPr>
          <w:fldChar w:fldCharType="end"/>
        </w:r>
      </w:hyperlink>
    </w:p>
    <w:p w14:paraId="62B624E2" w14:textId="4ADBDF80" w:rsidR="00AB7A09" w:rsidRPr="003122F8" w:rsidRDefault="00737F9D">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E763A6">
          <w:rPr>
            <w:noProof/>
            <w:webHidden/>
          </w:rPr>
          <w:t>22</w:t>
        </w:r>
        <w:r w:rsidR="00AB7A09">
          <w:rPr>
            <w:noProof/>
            <w:webHidden/>
          </w:rPr>
          <w:fldChar w:fldCharType="end"/>
        </w:r>
      </w:hyperlink>
    </w:p>
    <w:p w14:paraId="00B1DD07" w14:textId="3123A66F" w:rsidR="00AB7A09" w:rsidRPr="003122F8" w:rsidRDefault="00737F9D">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E763A6">
          <w:rPr>
            <w:noProof/>
            <w:webHidden/>
          </w:rPr>
          <w:t>23</w:t>
        </w:r>
        <w:r w:rsidR="00AB7A09">
          <w:rPr>
            <w:noProof/>
            <w:webHidden/>
          </w:rPr>
          <w:fldChar w:fldCharType="end"/>
        </w:r>
      </w:hyperlink>
    </w:p>
    <w:p w14:paraId="427910BD" w14:textId="163AF93E" w:rsidR="00AB7A09" w:rsidRPr="003122F8" w:rsidRDefault="00737F9D">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E763A6">
          <w:rPr>
            <w:noProof/>
            <w:webHidden/>
          </w:rPr>
          <w:t>23</w:t>
        </w:r>
        <w:r w:rsidR="00AB7A09">
          <w:rPr>
            <w:noProof/>
            <w:webHidden/>
          </w:rPr>
          <w:fldChar w:fldCharType="end"/>
        </w:r>
      </w:hyperlink>
    </w:p>
    <w:p w14:paraId="3983E92B" w14:textId="7C61C757" w:rsidR="00AB7A09" w:rsidRPr="003122F8" w:rsidRDefault="00737F9D">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E763A6">
          <w:rPr>
            <w:noProof/>
            <w:webHidden/>
          </w:rPr>
          <w:t>25</w:t>
        </w:r>
        <w:r w:rsidR="00AB7A09">
          <w:rPr>
            <w:noProof/>
            <w:webHidden/>
          </w:rPr>
          <w:fldChar w:fldCharType="end"/>
        </w:r>
      </w:hyperlink>
    </w:p>
    <w:p w14:paraId="1494F901" w14:textId="205175D9" w:rsidR="00AB7A09" w:rsidRPr="003122F8" w:rsidRDefault="00737F9D">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E763A6">
          <w:rPr>
            <w:noProof/>
            <w:webHidden/>
          </w:rPr>
          <w:t>25</w:t>
        </w:r>
        <w:r w:rsidR="00AB7A09">
          <w:rPr>
            <w:noProof/>
            <w:webHidden/>
          </w:rPr>
          <w:fldChar w:fldCharType="end"/>
        </w:r>
      </w:hyperlink>
    </w:p>
    <w:p w14:paraId="322161CC" w14:textId="021FDB5D" w:rsidR="00AB7A09" w:rsidRPr="003122F8" w:rsidRDefault="00737F9D">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E763A6">
          <w:rPr>
            <w:noProof/>
            <w:webHidden/>
          </w:rPr>
          <w:t>26</w:t>
        </w:r>
        <w:r w:rsidR="00AB7A09">
          <w:rPr>
            <w:noProof/>
            <w:webHidden/>
          </w:rPr>
          <w:fldChar w:fldCharType="end"/>
        </w:r>
      </w:hyperlink>
    </w:p>
    <w:p w14:paraId="45B19F0F" w14:textId="7B26D757" w:rsidR="00AB7A09" w:rsidRPr="003122F8" w:rsidRDefault="00737F9D">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E763A6">
          <w:rPr>
            <w:noProof/>
            <w:webHidden/>
          </w:rPr>
          <w:t>27</w:t>
        </w:r>
        <w:r w:rsidR="00AB7A09">
          <w:rPr>
            <w:noProof/>
            <w:webHidden/>
          </w:rPr>
          <w:fldChar w:fldCharType="end"/>
        </w:r>
      </w:hyperlink>
    </w:p>
    <w:p w14:paraId="4A2FD505" w14:textId="18170C30" w:rsidR="00AB7A09" w:rsidRPr="003122F8" w:rsidRDefault="00737F9D">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E763A6">
          <w:rPr>
            <w:noProof/>
            <w:webHidden/>
          </w:rPr>
          <w:t>28</w:t>
        </w:r>
        <w:r w:rsidR="00AB7A09">
          <w:rPr>
            <w:noProof/>
            <w:webHidden/>
          </w:rPr>
          <w:fldChar w:fldCharType="end"/>
        </w:r>
      </w:hyperlink>
    </w:p>
    <w:p w14:paraId="280C011A" w14:textId="490AAD99" w:rsidR="00AB7A09" w:rsidRPr="003122F8" w:rsidRDefault="00737F9D">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E763A6">
          <w:rPr>
            <w:noProof/>
            <w:webHidden/>
          </w:rPr>
          <w:t>28</w:t>
        </w:r>
        <w:r w:rsidR="00AB7A09">
          <w:rPr>
            <w:noProof/>
            <w:webHidden/>
          </w:rPr>
          <w:fldChar w:fldCharType="end"/>
        </w:r>
      </w:hyperlink>
    </w:p>
    <w:p w14:paraId="6F930594" w14:textId="17816139" w:rsidR="00AB7A09" w:rsidRPr="003122F8" w:rsidRDefault="00737F9D">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E763A6">
          <w:rPr>
            <w:noProof/>
            <w:webHidden/>
          </w:rPr>
          <w:t>30</w:t>
        </w:r>
        <w:r w:rsidR="00AB7A09">
          <w:rPr>
            <w:noProof/>
            <w:webHidden/>
          </w:rPr>
          <w:fldChar w:fldCharType="end"/>
        </w:r>
      </w:hyperlink>
    </w:p>
    <w:p w14:paraId="7649F560" w14:textId="750B7F62" w:rsidR="00AB7A09" w:rsidRPr="003122F8" w:rsidRDefault="00737F9D">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E763A6">
          <w:rPr>
            <w:noProof/>
            <w:webHidden/>
          </w:rPr>
          <w:t>30</w:t>
        </w:r>
        <w:r w:rsidR="00AB7A09">
          <w:rPr>
            <w:noProof/>
            <w:webHidden/>
          </w:rPr>
          <w:fldChar w:fldCharType="end"/>
        </w:r>
      </w:hyperlink>
    </w:p>
    <w:p w14:paraId="0E575266" w14:textId="34CFD111" w:rsidR="00AB7A09" w:rsidRPr="003122F8" w:rsidRDefault="00737F9D">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E763A6">
          <w:rPr>
            <w:noProof/>
            <w:webHidden/>
          </w:rPr>
          <w:t>30</w:t>
        </w:r>
        <w:r w:rsidR="00AB7A09">
          <w:rPr>
            <w:noProof/>
            <w:webHidden/>
          </w:rPr>
          <w:fldChar w:fldCharType="end"/>
        </w:r>
      </w:hyperlink>
    </w:p>
    <w:p w14:paraId="4700C388" w14:textId="0D19286E" w:rsidR="00AB7A09" w:rsidRPr="003122F8" w:rsidRDefault="00737F9D">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E763A6">
          <w:rPr>
            <w:noProof/>
            <w:webHidden/>
          </w:rPr>
          <w:t>30</w:t>
        </w:r>
        <w:r w:rsidR="00AB7A09">
          <w:rPr>
            <w:noProof/>
            <w:webHidden/>
          </w:rPr>
          <w:fldChar w:fldCharType="end"/>
        </w:r>
      </w:hyperlink>
    </w:p>
    <w:p w14:paraId="035A2641" w14:textId="7C9579E2" w:rsidR="00AB7A09" w:rsidRPr="003122F8" w:rsidRDefault="00737F9D">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E763A6">
          <w:rPr>
            <w:noProof/>
            <w:webHidden/>
          </w:rPr>
          <w:t>31</w:t>
        </w:r>
        <w:r w:rsidR="00AB7A09">
          <w:rPr>
            <w:noProof/>
            <w:webHidden/>
          </w:rPr>
          <w:fldChar w:fldCharType="end"/>
        </w:r>
      </w:hyperlink>
    </w:p>
    <w:p w14:paraId="347A4A08" w14:textId="615159D7" w:rsidR="00AB7A09" w:rsidRPr="003122F8" w:rsidRDefault="00737F9D">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E763A6">
          <w:rPr>
            <w:noProof/>
            <w:webHidden/>
          </w:rPr>
          <w:t>32</w:t>
        </w:r>
        <w:r w:rsidR="00AB7A09">
          <w:rPr>
            <w:noProof/>
            <w:webHidden/>
          </w:rPr>
          <w:fldChar w:fldCharType="end"/>
        </w:r>
      </w:hyperlink>
    </w:p>
    <w:p w14:paraId="5276D425" w14:textId="0ADDB5C0" w:rsidR="00AB7A09" w:rsidRPr="003122F8" w:rsidRDefault="00737F9D">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E763A6">
          <w:rPr>
            <w:noProof/>
            <w:webHidden/>
          </w:rPr>
          <w:t>34</w:t>
        </w:r>
        <w:r w:rsidR="00AB7A09">
          <w:rPr>
            <w:noProof/>
            <w:webHidden/>
          </w:rPr>
          <w:fldChar w:fldCharType="end"/>
        </w:r>
      </w:hyperlink>
    </w:p>
    <w:p w14:paraId="33B574F8" w14:textId="5CC1D1E7" w:rsidR="00AB7A09" w:rsidRPr="003122F8" w:rsidRDefault="00737F9D">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fldChar w:fldCharType="separate"/>
        </w:r>
        <w:r w:rsidR="00E763A6">
          <w:rPr>
            <w:b/>
            <w:bCs/>
            <w:noProof/>
            <w:webHidden/>
          </w:rPr>
          <w:t>Error! Bookmark not defined.</w:t>
        </w:r>
        <w:r w:rsidR="00AB7A09">
          <w:rPr>
            <w:noProof/>
            <w:webHidden/>
          </w:rPr>
          <w:fldChar w:fldCharType="end"/>
        </w:r>
      </w:hyperlink>
    </w:p>
    <w:p w14:paraId="53552CA7" w14:textId="634CA3F9" w:rsidR="00AB7A09" w:rsidRPr="003122F8" w:rsidRDefault="00737F9D">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E763A6">
          <w:rPr>
            <w:noProof/>
            <w:webHidden/>
          </w:rPr>
          <w:t>33</w:t>
        </w:r>
        <w:r w:rsidR="00AB7A09">
          <w:rPr>
            <w:noProof/>
            <w:webHidden/>
          </w:rPr>
          <w:fldChar w:fldCharType="end"/>
        </w:r>
      </w:hyperlink>
    </w:p>
    <w:p w14:paraId="059EE55A" w14:textId="1863A306" w:rsidR="00AB7A09" w:rsidRPr="003122F8" w:rsidRDefault="00737F9D">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E763A6">
          <w:rPr>
            <w:noProof/>
            <w:webHidden/>
          </w:rPr>
          <w:t>33</w:t>
        </w:r>
        <w:r w:rsidR="00AB7A09">
          <w:rPr>
            <w:noProof/>
            <w:webHidden/>
          </w:rPr>
          <w:fldChar w:fldCharType="end"/>
        </w:r>
      </w:hyperlink>
    </w:p>
    <w:p w14:paraId="3BD169A3" w14:textId="7293AF52" w:rsidR="00AB7A09" w:rsidRPr="003122F8" w:rsidRDefault="00737F9D">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fldChar w:fldCharType="separate"/>
        </w:r>
        <w:r w:rsidR="00E763A6">
          <w:rPr>
            <w:b/>
            <w:bCs/>
            <w:noProof/>
            <w:webHidden/>
          </w:rPr>
          <w:t>Error! Bookmark not defined.</w:t>
        </w:r>
        <w:r w:rsidR="00AB7A09">
          <w:rPr>
            <w:noProof/>
            <w:webHidden/>
          </w:rPr>
          <w:fldChar w:fldCharType="end"/>
        </w:r>
      </w:hyperlink>
    </w:p>
    <w:p w14:paraId="6BCE780A" w14:textId="430F51A4" w:rsidR="00AB7A09" w:rsidRPr="003122F8" w:rsidRDefault="00737F9D">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E763A6">
          <w:rPr>
            <w:noProof/>
            <w:webHidden/>
          </w:rPr>
          <w:t>34</w:t>
        </w:r>
        <w:r w:rsidR="00AB7A09">
          <w:rPr>
            <w:noProof/>
            <w:webHidden/>
          </w:rPr>
          <w:fldChar w:fldCharType="end"/>
        </w:r>
      </w:hyperlink>
    </w:p>
    <w:p w14:paraId="6AE01210" w14:textId="6BBCA0C6" w:rsidR="00AB7A09" w:rsidRPr="003122F8" w:rsidRDefault="00737F9D">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E763A6">
          <w:rPr>
            <w:noProof/>
            <w:webHidden/>
          </w:rPr>
          <w:t>34</w:t>
        </w:r>
        <w:r w:rsidR="00AB7A09">
          <w:rPr>
            <w:noProof/>
            <w:webHidden/>
          </w:rPr>
          <w:fldChar w:fldCharType="end"/>
        </w:r>
      </w:hyperlink>
    </w:p>
    <w:p w14:paraId="3121E886" w14:textId="03CD9A25" w:rsidR="00AB7A09" w:rsidRPr="003122F8" w:rsidRDefault="00737F9D">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E763A6">
          <w:rPr>
            <w:noProof/>
            <w:webHidden/>
          </w:rPr>
          <w:t>40</w:t>
        </w:r>
        <w:r w:rsidR="00AB7A09">
          <w:rPr>
            <w:noProof/>
            <w:webHidden/>
          </w:rPr>
          <w:fldChar w:fldCharType="end"/>
        </w:r>
      </w:hyperlink>
    </w:p>
    <w:p w14:paraId="7CE22821" w14:textId="54BF868C" w:rsidR="00AB7A09" w:rsidRPr="003122F8" w:rsidRDefault="00737F9D">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E763A6">
          <w:rPr>
            <w:noProof/>
            <w:webHidden/>
          </w:rPr>
          <w:t>40</w:t>
        </w:r>
        <w:r w:rsidR="00AB7A09">
          <w:rPr>
            <w:noProof/>
            <w:webHidden/>
          </w:rPr>
          <w:fldChar w:fldCharType="end"/>
        </w:r>
      </w:hyperlink>
    </w:p>
    <w:p w14:paraId="0B2A76D3" w14:textId="69D2A0A6" w:rsidR="00AB7A09" w:rsidRPr="003122F8" w:rsidRDefault="00737F9D">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E763A6">
          <w:rPr>
            <w:noProof/>
            <w:webHidden/>
          </w:rPr>
          <w:t>40</w:t>
        </w:r>
        <w:r w:rsidR="00AB7A09">
          <w:rPr>
            <w:noProof/>
            <w:webHidden/>
          </w:rPr>
          <w:fldChar w:fldCharType="end"/>
        </w:r>
      </w:hyperlink>
    </w:p>
    <w:p w14:paraId="771D2170" w14:textId="09977B76" w:rsidR="00AB7A09" w:rsidRPr="003122F8" w:rsidRDefault="00737F9D">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E763A6">
          <w:rPr>
            <w:noProof/>
            <w:webHidden/>
          </w:rPr>
          <w:t>41</w:t>
        </w:r>
        <w:r w:rsidR="00AB7A09">
          <w:rPr>
            <w:noProof/>
            <w:webHidden/>
          </w:rPr>
          <w:fldChar w:fldCharType="end"/>
        </w:r>
      </w:hyperlink>
    </w:p>
    <w:p w14:paraId="3398CD02" w14:textId="187A0525" w:rsidR="00AB7A09" w:rsidRPr="003122F8" w:rsidRDefault="00737F9D">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E763A6">
          <w:rPr>
            <w:noProof/>
            <w:webHidden/>
          </w:rPr>
          <w:t>42</w:t>
        </w:r>
        <w:r w:rsidR="00AB7A09">
          <w:rPr>
            <w:noProof/>
            <w:webHidden/>
          </w:rPr>
          <w:fldChar w:fldCharType="end"/>
        </w:r>
      </w:hyperlink>
    </w:p>
    <w:p w14:paraId="07FDA15E" w14:textId="326BCF0A" w:rsidR="00AB7A09" w:rsidRPr="003122F8" w:rsidRDefault="00737F9D">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E763A6">
          <w:rPr>
            <w:noProof/>
            <w:webHidden/>
          </w:rPr>
          <w:t>42</w:t>
        </w:r>
        <w:r w:rsidR="00AB7A09">
          <w:rPr>
            <w:noProof/>
            <w:webHidden/>
          </w:rPr>
          <w:fldChar w:fldCharType="end"/>
        </w:r>
      </w:hyperlink>
    </w:p>
    <w:p w14:paraId="28244C3F" w14:textId="2DBF29C1" w:rsidR="00AB7A09" w:rsidRPr="003122F8" w:rsidRDefault="00737F9D">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E763A6">
          <w:rPr>
            <w:noProof/>
            <w:webHidden/>
          </w:rPr>
          <w:t>42</w:t>
        </w:r>
        <w:r w:rsidR="00AB7A09">
          <w:rPr>
            <w:noProof/>
            <w:webHidden/>
          </w:rPr>
          <w:fldChar w:fldCharType="end"/>
        </w:r>
      </w:hyperlink>
    </w:p>
    <w:p w14:paraId="138DD01A" w14:textId="4E2C3901" w:rsidR="00AB7A09" w:rsidRPr="003122F8" w:rsidRDefault="00737F9D">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E763A6">
          <w:rPr>
            <w:noProof/>
            <w:webHidden/>
          </w:rPr>
          <w:t>43</w:t>
        </w:r>
        <w:r w:rsidR="00AB7A09">
          <w:rPr>
            <w:noProof/>
            <w:webHidden/>
          </w:rPr>
          <w:fldChar w:fldCharType="end"/>
        </w:r>
      </w:hyperlink>
    </w:p>
    <w:p w14:paraId="4275264C" w14:textId="6B9E11EC" w:rsidR="00AB7A09" w:rsidRPr="003122F8" w:rsidRDefault="00737F9D">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E763A6">
          <w:rPr>
            <w:noProof/>
            <w:webHidden/>
          </w:rPr>
          <w:t>44</w:t>
        </w:r>
        <w:r w:rsidR="00AB7A09">
          <w:rPr>
            <w:noProof/>
            <w:webHidden/>
          </w:rPr>
          <w:fldChar w:fldCharType="end"/>
        </w:r>
      </w:hyperlink>
    </w:p>
    <w:p w14:paraId="234B1BEF" w14:textId="065097F2" w:rsidR="00AB7A09" w:rsidRPr="003122F8" w:rsidRDefault="00737F9D">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E763A6">
          <w:rPr>
            <w:noProof/>
            <w:webHidden/>
          </w:rPr>
          <w:t>44</w:t>
        </w:r>
        <w:r w:rsidR="00AB7A09">
          <w:rPr>
            <w:noProof/>
            <w:webHidden/>
          </w:rPr>
          <w:fldChar w:fldCharType="end"/>
        </w:r>
      </w:hyperlink>
    </w:p>
    <w:p w14:paraId="137B7000" w14:textId="5BBED59D" w:rsidR="00AB7A09" w:rsidRPr="003122F8" w:rsidRDefault="00737F9D">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E763A6">
          <w:rPr>
            <w:noProof/>
            <w:webHidden/>
          </w:rPr>
          <w:t>45</w:t>
        </w:r>
        <w:r w:rsidR="00AB7A09">
          <w:rPr>
            <w:noProof/>
            <w:webHidden/>
          </w:rPr>
          <w:fldChar w:fldCharType="end"/>
        </w:r>
      </w:hyperlink>
    </w:p>
    <w:p w14:paraId="0184711E" w14:textId="381CB91F" w:rsidR="00AB7A09" w:rsidRPr="003122F8" w:rsidRDefault="00737F9D">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E763A6">
          <w:rPr>
            <w:noProof/>
            <w:webHidden/>
          </w:rPr>
          <w:t>45</w:t>
        </w:r>
        <w:r w:rsidR="00AB7A09">
          <w:rPr>
            <w:noProof/>
            <w:webHidden/>
          </w:rPr>
          <w:fldChar w:fldCharType="end"/>
        </w:r>
      </w:hyperlink>
    </w:p>
    <w:p w14:paraId="50F43974" w14:textId="516B5202" w:rsidR="00AB7A09" w:rsidRPr="003122F8" w:rsidRDefault="00737F9D">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E763A6">
          <w:rPr>
            <w:noProof/>
            <w:webHidden/>
          </w:rPr>
          <w:t>46</w:t>
        </w:r>
        <w:r w:rsidR="00AB7A09">
          <w:rPr>
            <w:noProof/>
            <w:webHidden/>
          </w:rPr>
          <w:fldChar w:fldCharType="end"/>
        </w:r>
      </w:hyperlink>
    </w:p>
    <w:p w14:paraId="444D01C4" w14:textId="395D9C38" w:rsidR="00AB7A09" w:rsidRPr="003122F8" w:rsidRDefault="00737F9D">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E763A6">
          <w:rPr>
            <w:noProof/>
            <w:webHidden/>
          </w:rPr>
          <w:t>47</w:t>
        </w:r>
        <w:r w:rsidR="00AB7A09">
          <w:rPr>
            <w:noProof/>
            <w:webHidden/>
          </w:rPr>
          <w:fldChar w:fldCharType="end"/>
        </w:r>
      </w:hyperlink>
    </w:p>
    <w:p w14:paraId="59498D59" w14:textId="22FB86A3" w:rsidR="00AB7A09" w:rsidRPr="003122F8" w:rsidRDefault="00737F9D">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E763A6">
          <w:rPr>
            <w:noProof/>
            <w:webHidden/>
          </w:rPr>
          <w:t>47</w:t>
        </w:r>
        <w:r w:rsidR="00AB7A09">
          <w:rPr>
            <w:noProof/>
            <w:webHidden/>
          </w:rPr>
          <w:fldChar w:fldCharType="end"/>
        </w:r>
      </w:hyperlink>
    </w:p>
    <w:p w14:paraId="75C084AB" w14:textId="20EA6A27" w:rsidR="00AB7A09" w:rsidRPr="003122F8" w:rsidRDefault="00737F9D">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E763A6">
          <w:rPr>
            <w:noProof/>
            <w:webHidden/>
          </w:rPr>
          <w:t>50</w:t>
        </w:r>
        <w:r w:rsidR="00AB7A09">
          <w:rPr>
            <w:noProof/>
            <w:webHidden/>
          </w:rPr>
          <w:fldChar w:fldCharType="end"/>
        </w:r>
      </w:hyperlink>
    </w:p>
    <w:p w14:paraId="75AE7F31" w14:textId="3129553A" w:rsidR="00AB7A09" w:rsidRPr="003122F8" w:rsidRDefault="00737F9D">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E763A6">
          <w:rPr>
            <w:noProof/>
            <w:webHidden/>
          </w:rPr>
          <w:t>51</w:t>
        </w:r>
        <w:r w:rsidR="00AB7A09">
          <w:rPr>
            <w:noProof/>
            <w:webHidden/>
          </w:rPr>
          <w:fldChar w:fldCharType="end"/>
        </w:r>
      </w:hyperlink>
    </w:p>
    <w:p w14:paraId="42526A5F" w14:textId="2821AFF4" w:rsidR="00AB7A09" w:rsidRPr="003122F8" w:rsidRDefault="00737F9D">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E763A6">
          <w:rPr>
            <w:noProof/>
            <w:webHidden/>
          </w:rPr>
          <w:t>51</w:t>
        </w:r>
        <w:r w:rsidR="00AB7A09">
          <w:rPr>
            <w:noProof/>
            <w:webHidden/>
          </w:rPr>
          <w:fldChar w:fldCharType="end"/>
        </w:r>
      </w:hyperlink>
    </w:p>
    <w:p w14:paraId="6EC783D1" w14:textId="41C7DCA0" w:rsidR="00AB7A09" w:rsidRPr="003122F8" w:rsidRDefault="00737F9D">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E763A6">
          <w:rPr>
            <w:noProof/>
            <w:webHidden/>
          </w:rPr>
          <w:t>51</w:t>
        </w:r>
        <w:r w:rsidR="00AB7A09">
          <w:rPr>
            <w:noProof/>
            <w:webHidden/>
          </w:rPr>
          <w:fldChar w:fldCharType="end"/>
        </w:r>
      </w:hyperlink>
    </w:p>
    <w:p w14:paraId="7718E9CD" w14:textId="463398CA" w:rsidR="00AB7A09" w:rsidRPr="003122F8" w:rsidRDefault="00737F9D">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E763A6">
          <w:rPr>
            <w:noProof/>
            <w:webHidden/>
          </w:rPr>
          <w:t>51</w:t>
        </w:r>
        <w:r w:rsidR="00AB7A09">
          <w:rPr>
            <w:noProof/>
            <w:webHidden/>
          </w:rPr>
          <w:fldChar w:fldCharType="end"/>
        </w:r>
      </w:hyperlink>
    </w:p>
    <w:p w14:paraId="11CE4780" w14:textId="7FDD02D0" w:rsidR="00AB7A09" w:rsidRPr="003122F8" w:rsidRDefault="00737F9D">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E763A6">
          <w:rPr>
            <w:noProof/>
            <w:webHidden/>
          </w:rPr>
          <w:t>52</w:t>
        </w:r>
        <w:r w:rsidR="00AB7A09">
          <w:rPr>
            <w:noProof/>
            <w:webHidden/>
          </w:rPr>
          <w:fldChar w:fldCharType="end"/>
        </w:r>
      </w:hyperlink>
    </w:p>
    <w:p w14:paraId="3199ADE0" w14:textId="151147F5" w:rsidR="00AB7A09" w:rsidRPr="003122F8" w:rsidRDefault="00737F9D">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E763A6">
          <w:rPr>
            <w:noProof/>
            <w:webHidden/>
          </w:rPr>
          <w:t>63</w:t>
        </w:r>
        <w:r w:rsidR="00AB7A09">
          <w:rPr>
            <w:noProof/>
            <w:webHidden/>
          </w:rPr>
          <w:fldChar w:fldCharType="end"/>
        </w:r>
      </w:hyperlink>
    </w:p>
    <w:p w14:paraId="6FB042F0" w14:textId="17011EE7" w:rsidR="00AB7A09" w:rsidRPr="003122F8" w:rsidRDefault="00737F9D">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E763A6">
          <w:rPr>
            <w:noProof/>
            <w:webHidden/>
          </w:rPr>
          <w:t>63</w:t>
        </w:r>
        <w:r w:rsidR="00AB7A09">
          <w:rPr>
            <w:noProof/>
            <w:webHidden/>
          </w:rPr>
          <w:fldChar w:fldCharType="end"/>
        </w:r>
      </w:hyperlink>
    </w:p>
    <w:p w14:paraId="5804E5DA" w14:textId="460B52DB" w:rsidR="00AB7A09" w:rsidRPr="003122F8" w:rsidRDefault="00737F9D">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E763A6">
          <w:rPr>
            <w:noProof/>
            <w:webHidden/>
          </w:rPr>
          <w:t>63</w:t>
        </w:r>
        <w:r w:rsidR="00AB7A09">
          <w:rPr>
            <w:noProof/>
            <w:webHidden/>
          </w:rPr>
          <w:fldChar w:fldCharType="end"/>
        </w:r>
      </w:hyperlink>
    </w:p>
    <w:p w14:paraId="4EF2AEFE" w14:textId="49DEC319" w:rsidR="00AB7A09" w:rsidRPr="003122F8" w:rsidRDefault="00737F9D">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E763A6">
          <w:rPr>
            <w:noProof/>
            <w:webHidden/>
          </w:rPr>
          <w:t>63</w:t>
        </w:r>
        <w:r w:rsidR="00AB7A09">
          <w:rPr>
            <w:noProof/>
            <w:webHidden/>
          </w:rPr>
          <w:fldChar w:fldCharType="end"/>
        </w:r>
      </w:hyperlink>
    </w:p>
    <w:p w14:paraId="4F301519" w14:textId="5A495B09" w:rsidR="00AB7A09" w:rsidRPr="003122F8" w:rsidRDefault="00737F9D">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E763A6">
          <w:rPr>
            <w:noProof/>
            <w:webHidden/>
          </w:rPr>
          <w:t>63</w:t>
        </w:r>
        <w:r w:rsidR="00AB7A09">
          <w:rPr>
            <w:noProof/>
            <w:webHidden/>
          </w:rPr>
          <w:fldChar w:fldCharType="end"/>
        </w:r>
      </w:hyperlink>
    </w:p>
    <w:p w14:paraId="02A63D39" w14:textId="7ACCBDC4" w:rsidR="00AB7A09" w:rsidRPr="003122F8" w:rsidRDefault="00737F9D">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E763A6">
          <w:rPr>
            <w:noProof/>
            <w:webHidden/>
          </w:rPr>
          <w:t>64</w:t>
        </w:r>
        <w:r w:rsidR="00AB7A09">
          <w:rPr>
            <w:noProof/>
            <w:webHidden/>
          </w:rPr>
          <w:fldChar w:fldCharType="end"/>
        </w:r>
      </w:hyperlink>
    </w:p>
    <w:p w14:paraId="3E875EB7" w14:textId="59D5C4AA" w:rsidR="00AB7A09" w:rsidRPr="003122F8" w:rsidRDefault="00737F9D">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E763A6">
          <w:rPr>
            <w:noProof/>
            <w:webHidden/>
          </w:rPr>
          <w:t>64</w:t>
        </w:r>
        <w:r w:rsidR="00AB7A09">
          <w:rPr>
            <w:noProof/>
            <w:webHidden/>
          </w:rPr>
          <w:fldChar w:fldCharType="end"/>
        </w:r>
      </w:hyperlink>
    </w:p>
    <w:p w14:paraId="6A49765C" w14:textId="3FC4608E" w:rsidR="00AB7A09" w:rsidRPr="003122F8" w:rsidRDefault="00737F9D">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E763A6">
          <w:rPr>
            <w:noProof/>
            <w:webHidden/>
          </w:rPr>
          <w:t>64</w:t>
        </w:r>
        <w:r w:rsidR="00AB7A09">
          <w:rPr>
            <w:noProof/>
            <w:webHidden/>
          </w:rPr>
          <w:fldChar w:fldCharType="end"/>
        </w:r>
      </w:hyperlink>
    </w:p>
    <w:p w14:paraId="1F4E9D23" w14:textId="3316C8AB" w:rsidR="00AB7A09" w:rsidRPr="003122F8" w:rsidRDefault="00737F9D">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E763A6">
          <w:rPr>
            <w:noProof/>
            <w:webHidden/>
          </w:rPr>
          <w:t>65</w:t>
        </w:r>
        <w:r w:rsidR="00AB7A09">
          <w:rPr>
            <w:noProof/>
            <w:webHidden/>
          </w:rPr>
          <w:fldChar w:fldCharType="end"/>
        </w:r>
      </w:hyperlink>
    </w:p>
    <w:p w14:paraId="25EF08E8" w14:textId="529BC3D6" w:rsidR="00AB7A09" w:rsidRPr="003122F8" w:rsidRDefault="00737F9D">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E763A6">
          <w:rPr>
            <w:noProof/>
            <w:webHidden/>
          </w:rPr>
          <w:t>65</w:t>
        </w:r>
        <w:r w:rsidR="00AB7A09">
          <w:rPr>
            <w:noProof/>
            <w:webHidden/>
          </w:rPr>
          <w:fldChar w:fldCharType="end"/>
        </w:r>
      </w:hyperlink>
    </w:p>
    <w:p w14:paraId="5E3560CE" w14:textId="7C2F7018" w:rsidR="00AB7A09" w:rsidRPr="003122F8" w:rsidRDefault="00737F9D">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E763A6">
          <w:rPr>
            <w:noProof/>
            <w:webHidden/>
          </w:rPr>
          <w:t>65</w:t>
        </w:r>
        <w:r w:rsidR="00AB7A09">
          <w:rPr>
            <w:noProof/>
            <w:webHidden/>
          </w:rPr>
          <w:fldChar w:fldCharType="end"/>
        </w:r>
      </w:hyperlink>
    </w:p>
    <w:p w14:paraId="40CFA557" w14:textId="7AF8F709" w:rsidR="00AB7A09" w:rsidRPr="003122F8" w:rsidRDefault="00737F9D">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E763A6">
          <w:rPr>
            <w:noProof/>
            <w:webHidden/>
          </w:rPr>
          <w:t>65</w:t>
        </w:r>
        <w:r w:rsidR="00AB7A09">
          <w:rPr>
            <w:noProof/>
            <w:webHidden/>
          </w:rPr>
          <w:fldChar w:fldCharType="end"/>
        </w:r>
      </w:hyperlink>
    </w:p>
    <w:p w14:paraId="7906C0A9" w14:textId="31D100C7" w:rsidR="00AB7A09" w:rsidRPr="003122F8" w:rsidRDefault="00737F9D">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E763A6">
          <w:rPr>
            <w:noProof/>
            <w:webHidden/>
          </w:rPr>
          <w:t>73</w:t>
        </w:r>
        <w:r w:rsidR="00AB7A09">
          <w:rPr>
            <w:noProof/>
            <w:webHidden/>
          </w:rPr>
          <w:fldChar w:fldCharType="end"/>
        </w:r>
      </w:hyperlink>
    </w:p>
    <w:p w14:paraId="131A0D3B" w14:textId="35C6AD78" w:rsidR="00AB7A09" w:rsidRPr="003122F8" w:rsidRDefault="00737F9D">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E763A6">
          <w:rPr>
            <w:noProof/>
            <w:webHidden/>
          </w:rPr>
          <w:t>75</w:t>
        </w:r>
        <w:r w:rsidR="00AB7A09">
          <w:rPr>
            <w:noProof/>
            <w:webHidden/>
          </w:rPr>
          <w:fldChar w:fldCharType="end"/>
        </w:r>
      </w:hyperlink>
    </w:p>
    <w:p w14:paraId="697A5165" w14:textId="01389A6D" w:rsidR="00AB7A09" w:rsidRPr="003122F8" w:rsidRDefault="00737F9D">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E763A6">
          <w:rPr>
            <w:noProof/>
            <w:webHidden/>
          </w:rPr>
          <w:t>75</w:t>
        </w:r>
        <w:r w:rsidR="00AB7A09">
          <w:rPr>
            <w:noProof/>
            <w:webHidden/>
          </w:rPr>
          <w:fldChar w:fldCharType="end"/>
        </w:r>
      </w:hyperlink>
    </w:p>
    <w:p w14:paraId="14917C0A" w14:textId="66F59204" w:rsidR="00AB7A09" w:rsidRPr="003122F8" w:rsidRDefault="00737F9D">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E763A6">
          <w:rPr>
            <w:noProof/>
            <w:webHidden/>
          </w:rPr>
          <w:t>76</w:t>
        </w:r>
        <w:r w:rsidR="00AB7A09">
          <w:rPr>
            <w:noProof/>
            <w:webHidden/>
          </w:rPr>
          <w:fldChar w:fldCharType="end"/>
        </w:r>
      </w:hyperlink>
    </w:p>
    <w:p w14:paraId="2C505823" w14:textId="0310509B" w:rsidR="00AB7A09" w:rsidRPr="003122F8" w:rsidRDefault="00737F9D">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E763A6">
          <w:rPr>
            <w:noProof/>
            <w:webHidden/>
          </w:rPr>
          <w:t>76</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235.25pt" o:ole="">
            <v:imagedata r:id="rId9" o:title="" cropbottom="21040f" cropright="9667f"/>
          </v:shape>
          <o:OLEObject Type="Embed" ProgID="Visio.Drawing.11" ShapeID="_x0000_i1025" DrawAspect="Content" ObjectID="_1678032369"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737F9D" w:rsidRDefault="00737F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737F9D" w:rsidRDefault="00737F9D"/>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37F9D" w:rsidRDefault="00737F9D">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37F9D" w:rsidRDefault="00737F9D"/>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37F9D" w:rsidRDefault="00737F9D"/>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37F9D" w:rsidRDefault="00737F9D"/>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37F9D" w:rsidRDefault="00737F9D">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37F9D" w:rsidRDefault="00737F9D"/>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37F9D" w:rsidRDefault="00737F9D"/>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37F9D" w:rsidRDefault="00737F9D"/>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37F9D" w:rsidRDefault="00737F9D">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37F9D" w:rsidRDefault="00737F9D"/>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37F9D" w:rsidRDefault="00737F9D"/>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37F9D" w:rsidRDefault="00737F9D"/>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37F9D" w:rsidRDefault="00737F9D">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37F9D" w:rsidRDefault="00737F9D"/>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37F9D" w:rsidRDefault="00737F9D"/>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37F9D" w:rsidRDefault="00737F9D"/>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737F9D" w:rsidRPr="00E04621" w:rsidRDefault="00737F9D">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737F9D" w:rsidRPr="00E04621" w:rsidRDefault="00737F9D">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37F9D" w:rsidRPr="00E04621" w:rsidRDefault="00737F9D">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737F9D" w:rsidRPr="00E04621" w:rsidRDefault="00737F9D">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37F9D" w:rsidRDefault="00737F9D">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37F9D" w:rsidRDefault="00737F9D">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37F9D" w:rsidRDefault="00737F9D"/>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37F9D" w:rsidRDefault="00737F9D"/>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37F9D" w:rsidRDefault="00737F9D">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37F9D" w:rsidRDefault="00737F9D">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37F9D" w:rsidRDefault="00737F9D"/>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37F9D" w:rsidRDefault="00737F9D"/>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37F9D" w:rsidRDefault="00737F9D">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37F9D" w:rsidRDefault="00737F9D">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37F9D" w:rsidRDefault="00737F9D">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37F9D" w:rsidRDefault="00737F9D"/>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37F9D" w:rsidRDefault="00737F9D">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37F9D" w:rsidRDefault="00737F9D">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37F9D" w:rsidRDefault="00737F9D">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37F9D" w:rsidRDefault="00737F9D"/>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48712820"/>
      <w:r>
        <w:rPr>
          <w:lang w:val="en-GB"/>
        </w:rPr>
        <w:t xml:space="preserve">3.4.2 Compiled </w:t>
      </w:r>
      <w:bookmarkEnd w:id="44"/>
      <w:r w:rsidR="00DB51EA">
        <w:rPr>
          <w:lang w:val="en-GB"/>
        </w:rPr>
        <w:t>and Framing</w:t>
      </w:r>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bookmarkStart w:id="45" w:name="_Toc48712821"/>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lastRenderedPageBreak/>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lastRenderedPageBreak/>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lastRenderedPageBreak/>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w:t>
      </w:r>
      <w:r>
        <w:rPr>
          <w:sz w:val="20"/>
          <w:szCs w:val="20"/>
          <w:lang w:val="en-GB"/>
        </w:rPr>
        <w:lastRenderedPageBreak/>
        <w:t xml:space="preserve">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lastRenderedPageBreak/>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lastRenderedPageBreak/>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lastRenderedPageBreak/>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48712832"/>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lastRenderedPageBreak/>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lastRenderedPageBreak/>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9"/>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0"/>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lastRenderedPageBreak/>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lastRenderedPageBreak/>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48712841"/>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48712842"/>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48712845"/>
      <w:r>
        <w:rPr>
          <w:lang w:val="en-GB"/>
        </w:rPr>
        <w:t>3.6.2 Activation</w:t>
      </w:r>
      <w:bookmarkEnd w:id="70"/>
    </w:p>
    <w:p w14:paraId="09C15470" w14:textId="3627A940"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four subclasses: CalledActivation, TargetActivation (with subclass TableActivation),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bookmarkStart w:id="71" w:name="_Toc48712839"/>
      <w:bookmarkStart w:id="72" w:name="_Toc48712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 xml:space="preserve">Activations provide an exception handling mechanism.Signals cause a change of Context, and the behaviour depends on the kind of Handler defined for that condition. Thus the loop in a CompoundStatement will check the Context that results from Obeying and Executable. If the context </w:t>
      </w:r>
      <w:r>
        <w:rPr>
          <w:sz w:val="20"/>
          <w:szCs w:val="20"/>
        </w:rPr>
        <w:lastRenderedPageBreak/>
        <w:t>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1"/>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2"/>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lastRenderedPageBreak/>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38CE05CB"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48712846"/>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48712847"/>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48712848"/>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48712849"/>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48712850"/>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48712851"/>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48712852"/>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48712853"/>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48712854"/>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3"/>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0" w:name="_Toc156570822"/>
      <w:bookmarkStart w:id="91" w:name="_Toc48712855"/>
      <w:r>
        <w:rPr>
          <w:lang w:val="en-GB"/>
        </w:rPr>
        <w:t>5.</w:t>
      </w:r>
      <w:r w:rsidR="002E1024">
        <w:rPr>
          <w:lang w:val="en-GB"/>
        </w:rPr>
        <w:t>2</w:t>
      </w:r>
      <w:r>
        <w:rPr>
          <w:lang w:val="en-GB"/>
        </w:rPr>
        <w:t xml:space="preserve"> Lexical analysis</w:t>
      </w:r>
      <w:bookmarkEnd w:id="90"/>
      <w:bookmarkEnd w:id="9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2" w:name="_Toc156570823"/>
      <w:bookmarkStart w:id="93" w:name="_Toc48712856"/>
      <w:r>
        <w:rPr>
          <w:lang w:val="en-GB"/>
        </w:rPr>
        <w:t>5.</w:t>
      </w:r>
      <w:r w:rsidR="002E1024">
        <w:rPr>
          <w:lang w:val="en-GB"/>
        </w:rPr>
        <w:t>3</w:t>
      </w:r>
      <w:r>
        <w:rPr>
          <w:lang w:val="en-GB"/>
        </w:rPr>
        <w:t xml:space="preserve"> Pars</w:t>
      </w:r>
      <w:bookmarkEnd w:id="92"/>
      <w:r w:rsidR="008B3587">
        <w:rPr>
          <w:lang w:val="en-GB"/>
        </w:rPr>
        <w:t>er</w:t>
      </w:r>
      <w:bookmarkEnd w:id="9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4" w:name="_Toc156570824"/>
      <w:bookmarkStart w:id="95" w:name="_Toc48712857"/>
      <w:r>
        <w:rPr>
          <w:lang w:val="en-GB"/>
        </w:rPr>
        <w:t>5.</w:t>
      </w:r>
      <w:r w:rsidR="002E1024">
        <w:rPr>
          <w:lang w:val="en-GB"/>
        </w:rPr>
        <w:t>3</w:t>
      </w:r>
      <w:r>
        <w:rPr>
          <w:lang w:val="en-GB"/>
        </w:rPr>
        <w:t>.1 Execute status and parsing</w:t>
      </w:r>
      <w:bookmarkEnd w:id="94"/>
      <w:bookmarkEnd w:id="9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6" w:name="_Toc156570825"/>
      <w:bookmarkStart w:id="97" w:name="_Toc48712858"/>
      <w:r>
        <w:rPr>
          <w:lang w:val="en-GB"/>
        </w:rPr>
        <w:t>5.</w:t>
      </w:r>
      <w:r w:rsidR="002E1024">
        <w:rPr>
          <w:lang w:val="en-GB"/>
        </w:rPr>
        <w:t>3</w:t>
      </w:r>
      <w:r>
        <w:rPr>
          <w:lang w:val="en-GB"/>
        </w:rPr>
        <w:t>.3</w:t>
      </w:r>
      <w:r w:rsidR="00BD554D">
        <w:rPr>
          <w:lang w:val="en-GB"/>
        </w:rPr>
        <w:t xml:space="preserve"> Parsing routines</w:t>
      </w:r>
      <w:bookmarkEnd w:id="96"/>
      <w:bookmarkEnd w:id="9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8" w:name="_Toc156570829"/>
      <w:bookmarkStart w:id="99" w:name="_Toc48712859"/>
      <w:r>
        <w:rPr>
          <w:lang w:val="en-GB"/>
        </w:rPr>
        <w:lastRenderedPageBreak/>
        <w:t>6. Query Processing</w:t>
      </w:r>
      <w:bookmarkEnd w:id="98"/>
      <w:r w:rsidR="00110696">
        <w:rPr>
          <w:lang w:val="en-GB"/>
        </w:rPr>
        <w:t xml:space="preserve"> and Code Execution</w:t>
      </w:r>
      <w:bookmarkEnd w:id="9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0" w:name="_Toc156570833"/>
      <w:bookmarkStart w:id="101" w:name="_Toc48712860"/>
      <w:r>
        <w:rPr>
          <w:lang w:val="en-GB"/>
        </w:rPr>
        <w:t>6.</w:t>
      </w:r>
      <w:r w:rsidR="00110696">
        <w:rPr>
          <w:lang w:val="en-GB"/>
        </w:rPr>
        <w:t>1</w:t>
      </w:r>
      <w:r>
        <w:rPr>
          <w:lang w:val="en-GB"/>
        </w:rPr>
        <w:t xml:space="preserve"> Overview of Query Analysis</w:t>
      </w:r>
      <w:bookmarkEnd w:id="100"/>
      <w:bookmarkEnd w:id="10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4"/>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5"/>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2" w:name="_Toc156570834"/>
      <w:bookmarkStart w:id="103" w:name="_Toc48712861"/>
      <w:r>
        <w:rPr>
          <w:lang w:val="en-GB"/>
        </w:rPr>
        <w:t>6.</w:t>
      </w:r>
      <w:r w:rsidR="00110696">
        <w:rPr>
          <w:lang w:val="en-GB"/>
        </w:rPr>
        <w:t>2</w:t>
      </w:r>
      <w:r>
        <w:rPr>
          <w:lang w:val="en-GB"/>
        </w:rPr>
        <w:t xml:space="preserve"> RowSets</w:t>
      </w:r>
      <w:bookmarkEnd w:id="102"/>
      <w:r w:rsidR="002A0658">
        <w:rPr>
          <w:lang w:val="en-GB"/>
        </w:rPr>
        <w:t xml:space="preserve"> and Context</w:t>
      </w:r>
      <w:bookmarkEnd w:id="103"/>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4" w:name="_Toc48712862"/>
      <w:r>
        <w:rPr>
          <w:lang w:val="en-GB"/>
        </w:rPr>
        <w:t xml:space="preserve">6.2.1 </w:t>
      </w:r>
      <w:r w:rsidR="00FC74D9">
        <w:rPr>
          <w:lang w:val="en-GB"/>
        </w:rPr>
        <w:t>Grouped aggregations</w:t>
      </w:r>
      <w:bookmarkEnd w:id="104"/>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5" w:name="_Toc156570835"/>
      <w:bookmarkStart w:id="106" w:name="_Toc48712863"/>
      <w:r>
        <w:rPr>
          <w:lang w:val="en-GB"/>
        </w:rPr>
        <w:t>6.</w:t>
      </w:r>
      <w:r w:rsidR="00110696">
        <w:rPr>
          <w:lang w:val="en-GB"/>
        </w:rPr>
        <w:t>3</w:t>
      </w:r>
      <w:r>
        <w:rPr>
          <w:lang w:val="en-GB"/>
        </w:rPr>
        <w:t xml:space="preserve"> </w:t>
      </w:r>
      <w:bookmarkEnd w:id="105"/>
      <w:r w:rsidR="007A53C1">
        <w:rPr>
          <w:lang w:val="en-GB"/>
        </w:rPr>
        <w:t>SqlValue vs TypedValue</w:t>
      </w:r>
      <w:bookmarkEnd w:id="106"/>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7" w:name="_Toc48712865"/>
      <w:bookmarkStart w:id="108" w:name="_Toc48712864"/>
      <w:r>
        <w:rPr>
          <w:lang w:val="en-GB"/>
        </w:rPr>
        <w:t>6.4 Persistent Stored Modules</w:t>
      </w:r>
      <w:bookmarkEnd w:id="107"/>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48712866"/>
      <w:bookmarkEnd w:id="108"/>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16"/>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17"/>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18"/>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r>
        <w:t>6.6 View Implementation</w:t>
      </w:r>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2B7CF87E" w:rsidR="00E0025E" w:rsidRDefault="00E0025E" w:rsidP="00E0025E">
            <w:pPr>
              <w:jc w:val="both"/>
              <w:rPr>
                <w:sz w:val="20"/>
                <w:szCs w:val="20"/>
                <w:lang w:val="en-GB"/>
              </w:rPr>
            </w:pPr>
            <w:r>
              <w:rPr>
                <w:sz w:val="20"/>
                <w:szCs w:val="20"/>
                <w:lang w:val="en-GB"/>
              </w:rPr>
              <w:t>328</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FB314A5" w:rsidR="003A0811" w:rsidRDefault="003A0811" w:rsidP="00737F9D">
            <w:pPr>
              <w:jc w:val="both"/>
              <w:rPr>
                <w:sz w:val="20"/>
                <w:szCs w:val="20"/>
                <w:lang w:val="en-GB"/>
              </w:rPr>
            </w:pPr>
            <w:r>
              <w:rPr>
                <w:sz w:val="20"/>
                <w:szCs w:val="20"/>
                <w:lang w:val="en-GB"/>
              </w:rPr>
              <w:t>356</w:t>
            </w:r>
          </w:p>
        </w:tc>
        <w:tc>
          <w:tcPr>
            <w:tcW w:w="2247" w:type="dxa"/>
            <w:shd w:val="clear" w:color="auto" w:fill="auto"/>
          </w:tcPr>
          <w:p w14:paraId="29BFDA7D" w14:textId="053A0F5B" w:rsidR="003A0811" w:rsidRPr="00421A2E" w:rsidRDefault="003A0811" w:rsidP="00737F9D">
            <w:pPr>
              <w:jc w:val="both"/>
              <w:rPr>
                <w:sz w:val="20"/>
                <w:szCs w:val="20"/>
                <w:lang w:val="en-GB"/>
              </w:rPr>
            </w:pPr>
            <w:r>
              <w:rPr>
                <w:sz w:val="20"/>
                <w:szCs w:val="20"/>
              </w:rPr>
              <w:t>Record 356[23]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116728F0" w:rsidR="003A0811" w:rsidRDefault="003A0811" w:rsidP="00737F9D">
            <w:pPr>
              <w:jc w:val="both"/>
              <w:rPr>
                <w:sz w:val="20"/>
                <w:szCs w:val="20"/>
                <w:lang w:val="en-GB"/>
              </w:rPr>
            </w:pPr>
            <w:r>
              <w:rPr>
                <w:sz w:val="20"/>
                <w:szCs w:val="20"/>
                <w:lang w:val="en-GB"/>
              </w:rPr>
              <w:t>400</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674BB6A" w:rsidR="003A0811" w:rsidRDefault="003A0811" w:rsidP="00737F9D">
            <w:pPr>
              <w:jc w:val="both"/>
              <w:rPr>
                <w:sz w:val="20"/>
                <w:szCs w:val="20"/>
                <w:lang w:val="en-GB"/>
              </w:rPr>
            </w:pPr>
            <w:r>
              <w:rPr>
                <w:sz w:val="20"/>
                <w:szCs w:val="20"/>
                <w:lang w:val="en-GB"/>
              </w:rPr>
              <w:t>407</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2D5174FB" w:rsidR="003A0811" w:rsidRPr="003A0811" w:rsidRDefault="003A0811" w:rsidP="00737F9D">
            <w:pPr>
              <w:rPr>
                <w:sz w:val="20"/>
                <w:szCs w:val="20"/>
              </w:rPr>
            </w:pPr>
            <w:r>
              <w:rPr>
                <w:sz w:val="20"/>
                <w:szCs w:val="20"/>
              </w:rPr>
              <w:t>for 400(0)[80]</w:t>
            </w:r>
          </w:p>
        </w:tc>
      </w:tr>
      <w:tr w:rsidR="003A0811" w:rsidRPr="0059152B" w14:paraId="1198FDA0" w14:textId="77777777" w:rsidTr="00737F9D">
        <w:tc>
          <w:tcPr>
            <w:tcW w:w="988" w:type="dxa"/>
            <w:shd w:val="clear" w:color="auto" w:fill="auto"/>
          </w:tcPr>
          <w:p w14:paraId="42D72010" w14:textId="08B71ADF" w:rsidR="003A0811" w:rsidRDefault="003A0811" w:rsidP="00737F9D">
            <w:pPr>
              <w:jc w:val="both"/>
              <w:rPr>
                <w:sz w:val="20"/>
                <w:szCs w:val="20"/>
                <w:lang w:val="en-GB"/>
              </w:rPr>
            </w:pPr>
            <w:r>
              <w:rPr>
                <w:sz w:val="20"/>
                <w:szCs w:val="20"/>
                <w:lang w:val="en-GB"/>
              </w:rPr>
              <w:t>430</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837D216" w:rsidR="003A0811" w:rsidRDefault="003A0811" w:rsidP="00737F9D">
            <w:pPr>
              <w:rPr>
                <w:sz w:val="20"/>
                <w:szCs w:val="20"/>
              </w:rPr>
            </w:pPr>
            <w:r>
              <w:rPr>
                <w:sz w:val="20"/>
                <w:szCs w:val="20"/>
              </w:rPr>
              <w:t>for 400(1)[29]</w:t>
            </w:r>
          </w:p>
        </w:tc>
      </w:tr>
      <w:tr w:rsidR="003A0811" w:rsidRPr="0059152B" w14:paraId="2CDFA7FE" w14:textId="77777777" w:rsidTr="00737F9D">
        <w:tc>
          <w:tcPr>
            <w:tcW w:w="988" w:type="dxa"/>
            <w:shd w:val="clear" w:color="auto" w:fill="auto"/>
          </w:tcPr>
          <w:p w14:paraId="630119E9" w14:textId="77E15C55" w:rsidR="003A0811" w:rsidRDefault="003A0811" w:rsidP="00737F9D">
            <w:pPr>
              <w:jc w:val="both"/>
              <w:rPr>
                <w:sz w:val="20"/>
                <w:szCs w:val="20"/>
                <w:lang w:val="en-GB"/>
              </w:rPr>
            </w:pPr>
            <w:r>
              <w:rPr>
                <w:sz w:val="20"/>
                <w:szCs w:val="20"/>
                <w:lang w:val="en-GB"/>
              </w:rPr>
              <w:t>472</w:t>
            </w:r>
          </w:p>
        </w:tc>
        <w:tc>
          <w:tcPr>
            <w:tcW w:w="2247" w:type="dxa"/>
            <w:shd w:val="clear" w:color="auto" w:fill="auto"/>
          </w:tcPr>
          <w:p w14:paraId="3C4BE6AC" w14:textId="5246BD5C" w:rsidR="003A0811" w:rsidRDefault="003A0811" w:rsidP="00737F9D">
            <w:pPr>
              <w:jc w:val="both"/>
              <w:rPr>
                <w:sz w:val="20"/>
                <w:szCs w:val="20"/>
              </w:rPr>
            </w:pPr>
            <w:r>
              <w:rPr>
                <w:sz w:val="20"/>
                <w:szCs w:val="20"/>
              </w:rPr>
              <w:t>Record 472[23]</w:t>
            </w:r>
          </w:p>
        </w:tc>
        <w:tc>
          <w:tcPr>
            <w:tcW w:w="5068" w:type="dxa"/>
            <w:shd w:val="clear" w:color="auto" w:fill="auto"/>
          </w:tcPr>
          <w:p w14:paraId="46DD24F5" w14:textId="2959C83E" w:rsidR="003A0811" w:rsidRDefault="003A0811" w:rsidP="00737F9D">
            <w:pPr>
              <w:rPr>
                <w:sz w:val="20"/>
                <w:szCs w:val="20"/>
              </w:rPr>
            </w:pPr>
            <w:r>
              <w:rPr>
                <w:sz w:val="20"/>
                <w:szCs w:val="20"/>
              </w:rPr>
              <w:t>407=Forty two,430=42</w:t>
            </w:r>
          </w:p>
        </w:tc>
      </w:tr>
      <w:tr w:rsidR="003A0811" w:rsidRPr="0059152B" w14:paraId="7DA3E76B" w14:textId="77777777" w:rsidTr="00737F9D">
        <w:tc>
          <w:tcPr>
            <w:tcW w:w="988" w:type="dxa"/>
            <w:shd w:val="clear" w:color="auto" w:fill="auto"/>
          </w:tcPr>
          <w:p w14:paraId="7F1B1C37" w14:textId="03C6D589" w:rsidR="003A0811" w:rsidRDefault="003A0811" w:rsidP="00737F9D">
            <w:pPr>
              <w:jc w:val="both"/>
              <w:rPr>
                <w:sz w:val="20"/>
                <w:szCs w:val="20"/>
                <w:lang w:val="en-GB"/>
              </w:rPr>
            </w:pPr>
            <w:r>
              <w:rPr>
                <w:sz w:val="20"/>
                <w:szCs w:val="20"/>
                <w:lang w:val="en-GB"/>
              </w:rPr>
              <w:t>502</w:t>
            </w:r>
          </w:p>
        </w:tc>
        <w:tc>
          <w:tcPr>
            <w:tcW w:w="2247" w:type="dxa"/>
            <w:shd w:val="clear" w:color="auto" w:fill="auto"/>
          </w:tcPr>
          <w:p w14:paraId="4E165BF2" w14:textId="215B7A41" w:rsidR="003A0811" w:rsidRDefault="003A0811" w:rsidP="00737F9D">
            <w:pPr>
              <w:jc w:val="both"/>
              <w:rPr>
                <w:sz w:val="20"/>
                <w:szCs w:val="20"/>
              </w:rPr>
            </w:pPr>
            <w:r>
              <w:rPr>
                <w:sz w:val="20"/>
                <w:szCs w:val="20"/>
              </w:rPr>
              <w:t>Record 502[23]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40F8B2A1" w:rsidR="003A0811" w:rsidRDefault="003A0811" w:rsidP="00737F9D">
            <w:pPr>
              <w:jc w:val="both"/>
              <w:rPr>
                <w:sz w:val="20"/>
                <w:szCs w:val="20"/>
                <w:lang w:val="en-GB"/>
              </w:rPr>
            </w:pPr>
            <w:r>
              <w:rPr>
                <w:sz w:val="20"/>
                <w:szCs w:val="20"/>
                <w:lang w:val="en-GB"/>
              </w:rPr>
              <w:t>546</w:t>
            </w:r>
          </w:p>
        </w:tc>
        <w:tc>
          <w:tcPr>
            <w:tcW w:w="2247" w:type="dxa"/>
            <w:shd w:val="clear" w:color="auto" w:fill="auto"/>
          </w:tcPr>
          <w:p w14:paraId="3BBEFC0E" w14:textId="1D2833A0" w:rsidR="003A0811" w:rsidRDefault="003A0811" w:rsidP="00737F9D">
            <w:pPr>
              <w:jc w:val="both"/>
              <w:rPr>
                <w:sz w:val="20"/>
                <w:szCs w:val="20"/>
              </w:rPr>
            </w:pPr>
            <w:r>
              <w:rPr>
                <w:sz w:val="20"/>
                <w:szCs w:val="20"/>
              </w:rPr>
              <w:t>PView W 546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31B42FEB" w:rsidR="00D01856" w:rsidRDefault="0003495F" w:rsidP="003A0811">
      <w:pPr>
        <w:spacing w:before="120"/>
        <w:rPr>
          <w:sz w:val="20"/>
          <w:szCs w:val="20"/>
        </w:rPr>
      </w:pPr>
      <w:r>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DD880A8" w14:textId="6D4EDEA0" w:rsidR="0003495F" w:rsidRDefault="00E56D34" w:rsidP="003A0811">
      <w:pPr>
        <w:spacing w:before="120"/>
        <w:contextualSpacing/>
        <w:rPr>
          <w:rFonts w:ascii="Consolas" w:hAnsi="Consolas"/>
          <w:sz w:val="16"/>
          <w:szCs w:val="16"/>
        </w:rPr>
      </w:pPr>
      <w:r w:rsidRPr="00E56D34">
        <w:rPr>
          <w:rFonts w:ascii="Consolas" w:hAnsi="Consolas"/>
          <w:sz w:val="16"/>
          <w:szCs w:val="16"/>
        </w:rPr>
        <w:t>{(#1=UpdateSearch #1 Nuid=#8 Target: 546,#8=From Name=W #8 RowType:(%0,%1,%2,%3) Assigs:(UpdateAssignment Vbl: %1 Val: #16=True,UpdateAssignment Vbl: %3 Val: #21=True) Filter:(%2=2) Where:(#31=True) Target=%4,#16=50,#21=21,#31=SqlValueExpr Name= #31 From:#8 Left:%2 BOOLEAN Right:#32 #31(%2=#32),#32=2,%0=SqlCopy Name=S %0 From:#8 Domain CHAR copy from 407,%1=SqlCopy Name=U %1 From:#8 Domain INTEGER copy from 430,%2=SqlCopy Name=Q %2 From:#8 Domain INTEGER copy from 43,%3=SqlCopy Name=A %3 From:#8 Domain INTEGER copy from 115,%4=View Name=W %4 Definer=-502 Ppos=546 Query select * from t natural join v Ppos: 546 Cols (A=%3,Q=%2,S=%0,U=%1) Domain ROW (%0,%1,%2,%3|%17) Display=4([%0,Domain CHAR],[%1,Domain INTEGER],[%2,Domain INTEGER],[%3,Domain INTEGER],[%17,Domain CHAR])  Targets: 23,400,%5=JoinPart %5 RowType:(%0,%1,%2,%3|%17)%12 NATURAL INNER join%16 on %15 matching %0=%17 %17=%0,%6=TableExpression %6 Nuid=%5 RowType:(%0,%1,%2,%3|%17) Target: %5,%7=QuerySpecification %7 RowType:(%0,%1,%2,%3,%17) TableExp %6,%8=QueryExpression %8 RowType:(%0,%1,%2,%3,%17) Left: %7 ,%9=CursorSpecification %9 RowType:(%0,%1,%2,%3,%17) Source={select * from t natural join v} Union: %8,%10=SelectStatement %10 CS=%9,%11=SqlStar Name=* %11 CONTENT From:%7 CONTENT,%12=From Name=T %12 RowType:(%0,%1) OrdSpec (0=%0) Target=400,%13=SqlCopy Name=U %13 From:%12 Domain INTEGER copy from 430,%15=SqlValueExpr Name= %15 Left:%0 BOOLEAN Right:%17 %15(%0=%17),%16=From Name=V %16 RowType:(%2,%17,%3) OrdSpec (0=%17) Target=%18,%17=SqlCopy Name=S %17 From:%5 Domain CHAR copy from 93,%18=View Name=V %18 Definer=-502 Ppos=155 Query select q,r as s,a from p Ppos: 155 Cols (A=%3,Q=%2,R=%17,S=%17) Domain TABLE (%2,%17,%3) Display=4([%2,Domain INTEGER],[%3,Domain INTEGER],[%17,Domain CHAR])  Targets: 23,%19=From Name=P %19 RowType:(%2,%17,%3) Target=23,%20=SqlCopy Name=Q %20 From:%19 Domain INTEGER copy from 43,%21=TableExpression %21 Nuid=%19 RowType:(%2,%17,%3) Target: %19,%22=QuerySpecification %22 RowType:(%2,%17,%3) TableExp %21,%23=QueryExpression %23 RowType:(%2,%17,%3) Left: %22 ,%24=CursorSpecification %24 RowType:(%2,%17,%3) Source={select q,r as s,a from p} Union: %23,%25=SelectStatement %25 CS=%24,%26=SqlCopy Name=R %26 From:%19 Alias=S Domain CHAR copy from 93,%27=SqlCopy Name=A %27 From:%19 Domain INTEGER copy from 115,%29=SqlCopy Name=A %29 From:%16 Domain INTEGER copy from 115)}</w:t>
      </w:r>
    </w:p>
    <w:p w14:paraId="05BFA4D4" w14:textId="21590D39" w:rsidR="00E56D34" w:rsidRPr="00E56D34"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#8=JoinRowSet %5(%0,%1,%2,%3|%17) key (%0,%1,%2,%3,%17) matches (%2=2) targets: 23=64,400=%12 Assigs:(UpdateAssignment Vbl: %1 Val: #16=True,UpdateAssignment Vbl: %3 Val: #21=True) JoinCond: (%15) matching %0=%17 %17=%0 First: %14 Second: %28</w:t>
      </w:r>
      <w:r w:rsidR="00EA71FE">
        <w:rPr>
          <w:rFonts w:ascii="Consolas" w:hAnsi="Consolas"/>
          <w:sz w:val="16"/>
          <w:szCs w:val="16"/>
        </w:rPr>
        <w:t>,</w:t>
      </w:r>
      <w:r w:rsidRPr="00E56D34">
        <w:rPr>
          <w:rFonts w:ascii="Consolas" w:hAnsi="Consolas"/>
          <w:sz w:val="16"/>
          <w:szCs w:val="16"/>
        </w:rPr>
        <w:t xml:space="preserve">%5=JoinRowSet %5(%0,%1,%2,%3|%17) key (%0,%1,%2,%3,%17) matches (%2=2) targets: 23=64,400=%12 Assigs:(UpdateAssignment Vbl: %1 Val: #16=True,UpdateAssignment Vbl: %3 Val: #21=True) JoinCond: (%15) matching %0=%17 %17=%0 First: %14 Second: %28,%6=TableExpRowSet </w:t>
      </w:r>
      <w:r w:rsidRPr="00E56D34">
        <w:rPr>
          <w:rFonts w:ascii="Consolas" w:hAnsi="Consolas"/>
          <w:sz w:val="16"/>
          <w:szCs w:val="16"/>
        </w:rPr>
        <w:lastRenderedPageBreak/>
        <w:t>%6(%0,%1,%2,%3|%17) key (%0,%1,%2,%3) targets: 23=64,400=%12 Source: %5,%12=SelectedRowSet %12(%0,%1) key (%0,%1) targets: 400=%12 Assigs:(UpdateAssignment Vbl: %1 Val: #16=True) Source: 400,%14=OrderedRowSet %14(%0,%1) key (%0) order (%0) targets: 400=%12 Assigs:(UpdateAssignment Vbl: %1 Val: #16=True) Source: %12,%19=SelectedRowSet %19(%2,%17,%3) key (%2,%17,%3) matches (%2=2) targets: 23=64 Assigs:(UpdateAssignment Vbl: %3 Val: #21=True) Source: 64,%21=TableExpRowSet %21(%2,%17,%3) key (%2,%17,%3) targets: 23=64 Source: %19,%28=OrderedRowSet %28(%2,%17,%3) key (%17) order (%17) matches (%2=2) targets: 23=64 Assigs:(UpdateAssignment Vbl: %3 Val: #21=True) Source: %19)}</w:t>
      </w:r>
    </w:p>
    <w:p w14:paraId="274C88FE" w14:textId="77777777" w:rsidR="009051EF" w:rsidRDefault="00833FBA" w:rsidP="00833FBA">
      <w:pPr>
        <w:pStyle w:val="Heading1"/>
        <w:pageBreakBefore/>
        <w:rPr>
          <w:lang w:val="en-GB"/>
        </w:rPr>
      </w:pPr>
      <w:bookmarkStart w:id="111" w:name="_Toc48712867"/>
      <w:r>
        <w:rPr>
          <w:lang w:val="en-GB"/>
        </w:rPr>
        <w:lastRenderedPageBreak/>
        <w:t>7. Permissions and the Security Model</w:t>
      </w:r>
      <w:bookmarkEnd w:id="111"/>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2" w:name="_Toc48712868"/>
      <w:r>
        <w:rPr>
          <w:lang w:val="en-GB"/>
        </w:rPr>
        <w:t xml:space="preserve">7.1 </w:t>
      </w:r>
      <w:r w:rsidR="00E93EA2">
        <w:rPr>
          <w:lang w:val="en-GB"/>
        </w:rPr>
        <w:t>Roles</w:t>
      </w:r>
      <w:bookmarkEnd w:id="112"/>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9"/>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3"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3"/>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4" w:name="_Toc48712870"/>
      <w:r>
        <w:rPr>
          <w:lang w:val="en-GB"/>
        </w:rPr>
        <w:t>7.1.2 The guest role (public)</w:t>
      </w:r>
      <w:bookmarkEnd w:id="114"/>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5" w:name="_Toc48712871"/>
      <w:r>
        <w:rPr>
          <w:lang w:val="en-GB"/>
        </w:rPr>
        <w:t>7.1.3 Other roles</w:t>
      </w:r>
      <w:bookmarkEnd w:id="115"/>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6" w:name="_Toc48712872"/>
      <w:r>
        <w:rPr>
          <w:lang w:val="en-GB"/>
        </w:rPr>
        <w:t>7.2</w:t>
      </w:r>
      <w:r w:rsidR="00D3602A">
        <w:rPr>
          <w:lang w:val="en-GB"/>
        </w:rPr>
        <w:t xml:space="preserve"> Effective permissions</w:t>
      </w:r>
      <w:bookmarkEnd w:id="116"/>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7" w:name="_Toc48712873"/>
      <w:r>
        <w:rPr>
          <w:lang w:val="en-GB"/>
        </w:rPr>
        <w:t>7.3</w:t>
      </w:r>
      <w:r w:rsidR="00021B99">
        <w:rPr>
          <w:lang w:val="en-GB"/>
        </w:rPr>
        <w:t xml:space="preserve"> Implementation of the Security model</w:t>
      </w:r>
      <w:bookmarkEnd w:id="117"/>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8" w:name="_Toc48712874"/>
      <w:r>
        <w:rPr>
          <w:lang w:val="en-GB"/>
        </w:rPr>
        <w:t>7.3.1 The Privilege enumeration</w:t>
      </w:r>
      <w:bookmarkEnd w:id="118"/>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19" w:name="_Toc48712875"/>
      <w:r>
        <w:rPr>
          <w:lang w:val="en-GB"/>
        </w:rPr>
        <w:lastRenderedPageBreak/>
        <w:t xml:space="preserve">7.3.2 </w:t>
      </w:r>
      <w:r w:rsidR="000547C3">
        <w:rPr>
          <w:lang w:val="en-GB"/>
        </w:rPr>
        <w:t>Checking permissions</w:t>
      </w:r>
      <w:bookmarkEnd w:id="119"/>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0" w:name="_Toc48712876"/>
      <w:r>
        <w:rPr>
          <w:lang w:val="en-GB"/>
        </w:rPr>
        <w:t>7.3.3 Grant and Revoke</w:t>
      </w:r>
      <w:bookmarkEnd w:id="120"/>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1" w:name="_Toc48712877"/>
      <w:r>
        <w:rPr>
          <w:lang w:val="en-GB"/>
        </w:rPr>
        <w:t>7.3.4 Permissions on newly created objects</w:t>
      </w:r>
      <w:bookmarkEnd w:id="121"/>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2" w:name="_Toc48712878"/>
      <w:r>
        <w:rPr>
          <w:lang w:val="en-GB"/>
        </w:rPr>
        <w:t>7.3.5</w:t>
      </w:r>
      <w:r w:rsidR="000547C3">
        <w:rPr>
          <w:lang w:val="en-GB"/>
        </w:rPr>
        <w:t xml:space="preserve"> Dropping objects</w:t>
      </w:r>
      <w:bookmarkEnd w:id="122"/>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3"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4" w:name="_Hlk56345654"/>
      <w:bookmarkEnd w:id="123"/>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4"/>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5" w:name="_Toc48712879"/>
      <w:r>
        <w:rPr>
          <w:lang w:val="en-GB"/>
        </w:rPr>
        <w:t>7.5</w:t>
      </w:r>
      <w:r w:rsidR="007E3C33">
        <w:rPr>
          <w:lang w:val="en-GB"/>
        </w:rPr>
        <w:t xml:space="preserve">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26" w:name="_Toc48712880"/>
      <w:r>
        <w:rPr>
          <w:bCs w:val="0"/>
          <w:lang w:val="en-GB"/>
        </w:rPr>
        <w:lastRenderedPageBreak/>
        <w:t>8</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27" w:name="_Toc48712881"/>
      <w:r>
        <w:rPr>
          <w:lang w:val="en-GB"/>
        </w:rPr>
        <w:t>8</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28" w:name="_Toc48712882"/>
      <w:r>
        <w:rPr>
          <w:lang w:val="en-GB"/>
        </w:rPr>
        <w:lastRenderedPageBreak/>
        <w:t>8</w:t>
      </w:r>
      <w:r w:rsidR="001A626F">
        <w:rPr>
          <w:lang w:val="en-GB"/>
        </w:rPr>
        <w:t>.</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29" w:name="_Toc48712883"/>
      <w:r>
        <w:rPr>
          <w:lang w:val="en-GB"/>
        </w:rPr>
        <w:t>8</w:t>
      </w:r>
      <w:r w:rsidR="00A84C82">
        <w:rPr>
          <w:lang w:val="en-GB"/>
        </w:rPr>
        <w:t>.3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r>
        <w:rPr>
          <w:lang w:val="en-GB"/>
        </w:rPr>
        <w:t>9</w:t>
      </w:r>
      <w:r w:rsidR="00C97016" w:rsidRPr="00C97016">
        <w:rPr>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0A545" w14:textId="77777777" w:rsidR="00503EAD" w:rsidRDefault="00503EAD" w:rsidP="008C3C49">
      <w:r>
        <w:separator/>
      </w:r>
    </w:p>
  </w:endnote>
  <w:endnote w:type="continuationSeparator" w:id="0">
    <w:p w14:paraId="57637F4B" w14:textId="77777777" w:rsidR="00503EAD" w:rsidRDefault="00503EAD"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737F9D" w:rsidRDefault="00737F9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F81BA" w14:textId="77777777" w:rsidR="00503EAD" w:rsidRDefault="00503EAD" w:rsidP="008C3C49">
      <w:r>
        <w:separator/>
      </w:r>
    </w:p>
  </w:footnote>
  <w:footnote w:type="continuationSeparator" w:id="0">
    <w:p w14:paraId="68E9CC7A" w14:textId="77777777" w:rsidR="00503EAD" w:rsidRDefault="00503EAD" w:rsidP="008C3C49">
      <w:r>
        <w:continuationSeparator/>
      </w:r>
    </w:p>
  </w:footnote>
  <w:footnote w:id="1">
    <w:p w14:paraId="333519CA" w14:textId="77777777" w:rsidR="00737F9D" w:rsidRPr="009B3FA0" w:rsidRDefault="00737F9D"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737F9D" w:rsidRPr="00FC6364" w:rsidRDefault="00737F9D">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737F9D" w:rsidRPr="00E33F81" w:rsidRDefault="00737F9D"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737F9D" w:rsidRPr="006A54E3" w:rsidRDefault="00737F9D">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737F9D" w:rsidRPr="00873A5D" w:rsidRDefault="00737F9D">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737F9D" w:rsidRPr="00F97AA8" w:rsidRDefault="00737F9D">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737F9D" w:rsidRPr="00410897" w:rsidRDefault="00737F9D">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737F9D" w:rsidRPr="00485EA6" w:rsidRDefault="00737F9D">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103D07EB" w14:textId="05003FD7" w:rsidR="00737F9D" w:rsidRPr="00DA4D33" w:rsidRDefault="00737F9D">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0">
    <w:p w14:paraId="0C7B88F3" w14:textId="1E9C91D7" w:rsidR="00737F9D" w:rsidRPr="00DA4D33" w:rsidRDefault="00737F9D">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1">
    <w:p w14:paraId="7FD3A490" w14:textId="77777777" w:rsidR="00737F9D" w:rsidRPr="00391305" w:rsidRDefault="00737F9D"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2">
    <w:p w14:paraId="755D22D1" w14:textId="77777777" w:rsidR="00737F9D" w:rsidRPr="007F448F" w:rsidRDefault="00737F9D"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3">
    <w:p w14:paraId="7612B727" w14:textId="77777777" w:rsidR="00737F9D" w:rsidRDefault="00737F9D"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37F9D" w:rsidRPr="00E040D0" w:rsidRDefault="00737F9D">
      <w:pPr>
        <w:pStyle w:val="FootnoteText"/>
        <w:rPr>
          <w:lang w:val="en-GB"/>
        </w:rPr>
      </w:pPr>
    </w:p>
  </w:footnote>
  <w:footnote w:id="14">
    <w:p w14:paraId="48130066" w14:textId="77777777" w:rsidR="00737F9D" w:rsidRPr="008106F9" w:rsidRDefault="00737F9D">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5">
    <w:p w14:paraId="00739136" w14:textId="6E4C7F09" w:rsidR="00737F9D" w:rsidRPr="00713CDF" w:rsidRDefault="00737F9D">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6">
    <w:p w14:paraId="59789292" w14:textId="2EBD81AA" w:rsidR="00737F9D" w:rsidRPr="00AE6339" w:rsidRDefault="00737F9D">
      <w:pPr>
        <w:pStyle w:val="FootnoteText"/>
        <w:rPr>
          <w:lang w:val="en-GB"/>
        </w:rPr>
      </w:pPr>
      <w:r>
        <w:rPr>
          <w:rStyle w:val="FootnoteReference"/>
        </w:rPr>
        <w:footnoteRef/>
      </w:r>
      <w:r>
        <w:t xml:space="preserve"> </w:t>
      </w:r>
      <w:r>
        <w:rPr>
          <w:lang w:val="en-GB"/>
        </w:rPr>
        <w:t>The uids are different for a newly defined trigger.</w:t>
      </w:r>
    </w:p>
  </w:footnote>
  <w:footnote w:id="17">
    <w:p w14:paraId="4CE2EA7A" w14:textId="1C658BDE" w:rsidR="00737F9D" w:rsidRPr="00595A52" w:rsidRDefault="00737F9D">
      <w:pPr>
        <w:pStyle w:val="FootnoteText"/>
        <w:rPr>
          <w:lang w:val="en-GB"/>
        </w:rPr>
      </w:pPr>
      <w:r>
        <w:rPr>
          <w:rStyle w:val="FootnoteReference"/>
        </w:rPr>
        <w:footnoteRef/>
      </w:r>
      <w:r>
        <w:t xml:space="preserve"> </w:t>
      </w:r>
      <w:r>
        <w:rPr>
          <w:lang w:val="en-GB"/>
        </w:rPr>
        <w:t>See section 3.4.2.</w:t>
      </w:r>
    </w:p>
  </w:footnote>
  <w:footnote w:id="18">
    <w:p w14:paraId="500654D3" w14:textId="0AD9B9C0" w:rsidR="00737F9D" w:rsidRPr="00C00FE5" w:rsidRDefault="00737F9D">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19">
    <w:p w14:paraId="6755BF86" w14:textId="5A412198" w:rsidR="00737F9D" w:rsidRPr="00140BD5" w:rsidRDefault="00737F9D">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1B32B8B5" w:rsidR="00737F9D" w:rsidRPr="00202527" w:rsidRDefault="00737F9D">
    <w:pPr>
      <w:pStyle w:val="Header"/>
      <w:rPr>
        <w:lang w:val="en-GB"/>
      </w:rPr>
    </w:pPr>
    <w:r>
      <w:rPr>
        <w:lang w:val="en-GB"/>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1B80"/>
    <w:rsid w:val="00924197"/>
    <w:rsid w:val="009259C1"/>
    <w:rsid w:val="00926198"/>
    <w:rsid w:val="00926679"/>
    <w:rsid w:val="00927452"/>
    <w:rsid w:val="00927595"/>
    <w:rsid w:val="00927E91"/>
    <w:rsid w:val="00930618"/>
    <w:rsid w:val="009307A0"/>
    <w:rsid w:val="009331FC"/>
    <w:rsid w:val="009356E7"/>
    <w:rsid w:val="0093656D"/>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6D0"/>
    <w:rsid w:val="00A55094"/>
    <w:rsid w:val="00A5633D"/>
    <w:rsid w:val="00A6069F"/>
    <w:rsid w:val="00A61A29"/>
    <w:rsid w:val="00A622C2"/>
    <w:rsid w:val="00A6244A"/>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FF2"/>
    <w:rsid w:val="00B435ED"/>
    <w:rsid w:val="00B44959"/>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77</Pages>
  <Words>36321</Words>
  <Characters>207033</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242869</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22</cp:revision>
  <cp:lastPrinted>2021-03-23T19:19:00Z</cp:lastPrinted>
  <dcterms:created xsi:type="dcterms:W3CDTF">2021-03-19T07:30:00Z</dcterms:created>
  <dcterms:modified xsi:type="dcterms:W3CDTF">2021-03-23T19:20:00Z</dcterms:modified>
</cp:coreProperties>
</file>