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8"/>
          <w:szCs w:val="48"/>
        </w:rPr>
        <w:t xml:space="preserve">AI Governance Framework</w:t>
      </w:r>
    </w:p>
    <w:p>
      <w:pPr>
        <w:spacing w:after="60"/>
        <w:jc w:val="center"/>
      </w:pPr>
      <w:r>
        <w:rPr>
          <w:b/>
          <w:bCs/>
          <w:color w:val="0F1F44"/>
          <w:sz w:val="28"/>
          <w:szCs w:val="28"/>
        </w:rPr>
        <w:t xml:space="preserve">Policy, Process &amp; Accountability for AI at Scale</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Head of AI &amp; Automation  •  Classification: Internal</w:t>
      </w:r>
    </w:p>
    <w:p>
      <w:pPr>
        <w:pBdr>
          <w:bottom w:val="single" w:color="D9D9D9" w:sz="8" w:space="1"/>
        </w:pBdr>
      </w:pPr>
    </w:p>
    <w:p>
      <w:pPr>
        <w:pStyle w:val="Heading1"/>
        <w:spacing w:after="160" w:before="360"/>
      </w:pPr>
      <w:r>
        <w:rPr>
          <w:b/>
          <w:bCs/>
          <w:color w:val="1F3864"/>
          <w:sz w:val="30"/>
          <w:szCs w:val="30"/>
        </w:rPr>
        <w:t xml:space="preserve">1. Purpose and Scope</w:t>
      </w:r>
    </w:p>
    <w:p>
      <w:pPr>
        <w:spacing w:after="120" w:line="300"/>
      </w:pPr>
      <w:r>
        <w:t xml:space="preserve">This framework sets out how artificial intelligence (AI) is built, procured, deployed, operated and retired across the organisation. It exists to let the business capture the productivity and customer-experience value of AI while meeting the obligations we owe to regulators, customers, employees and shareholders.</w:t>
      </w:r>
    </w:p>
    <w:p>
      <w:pPr>
        <w:spacing w:after="120" w:line="300"/>
      </w:pPr>
      <w:r>
        <w:t xml:space="preserve">The framework is binding on all permanent employees, fixed-term staff, contractors, consultants and third parties who build or use AI systems on behalf of the organisation, regardless of whether those systems are built in-house, bought from a vendor, or consumed as a service.</w:t>
      </w:r>
    </w:p>
    <w:p>
      <w:pPr>
        <w:pStyle w:val="Heading2"/>
        <w:spacing w:after="120" w:before="240"/>
      </w:pPr>
      <w:r>
        <w:rPr>
          <w:b/>
          <w:bCs/>
          <w:color w:val="0F1F44"/>
          <w:sz w:val="24"/>
          <w:szCs w:val="24"/>
        </w:rPr>
        <w:t xml:space="preserve">1.1 In scope</w:t>
      </w:r>
    </w:p>
    <w:p>
      <w:pPr>
        <w:pStyle w:val="ListParagraph"/>
        <w:numPr>
          <w:ilvl w:val="0"/>
          <w:numId w:val="2"/>
        </w:numPr>
        <w:spacing w:after="80" w:line="280"/>
      </w:pPr>
      <w:r>
        <w:t xml:space="preserve">Generative AI assistants, whether general-purpose (for example M365 Copilot, already deployed enterprise-wide) or purpose-built (GitHub Copilot Enterprise, Claude Code on Microsoft Foundry).</w:t>
      </w:r>
    </w:p>
    <w:p>
      <w:pPr>
        <w:pStyle w:val="ListParagraph"/>
        <w:numPr>
          <w:ilvl w:val="0"/>
          <w:numId w:val="2"/>
        </w:numPr>
        <w:spacing w:after="80" w:line="280"/>
      </w:pPr>
      <w:r>
        <w:t xml:space="preserve">Custom AI agents and copilots built on Microsoft Copilot Studio or directly on Azure AI Foundry.</w:t>
      </w:r>
    </w:p>
    <w:p>
      <w:pPr>
        <w:pStyle w:val="ListParagraph"/>
        <w:numPr>
          <w:ilvl w:val="0"/>
          <w:numId w:val="2"/>
        </w:numPr>
        <w:spacing w:after="80" w:line="280"/>
      </w:pPr>
      <w:r>
        <w:t xml:space="preserve">Predictive and decisioning models used in credit, fraud, AML, marketing, operations and customer service.</w:t>
      </w:r>
    </w:p>
    <w:p>
      <w:pPr>
        <w:pStyle w:val="ListParagraph"/>
        <w:numPr>
          <w:ilvl w:val="0"/>
          <w:numId w:val="2"/>
        </w:numPr>
        <w:spacing w:after="80" w:line="280"/>
      </w:pPr>
      <w:r>
        <w:t xml:space="preserve">Any third-party SaaS product where AI is a material feature touching our data or our customers.</w:t>
      </w:r>
    </w:p>
    <w:p>
      <w:pPr>
        <w:pStyle w:val="ListParagraph"/>
        <w:numPr>
          <w:ilvl w:val="0"/>
          <w:numId w:val="2"/>
        </w:numPr>
        <w:spacing w:after="80" w:line="280"/>
      </w:pPr>
      <w:r>
        <w:t xml:space="preserve">Experimental / research AI work including notebooks and proofs of concept that touch production or customer data.</w:t>
      </w:r>
    </w:p>
    <w:p>
      <w:pPr>
        <w:pStyle w:val="Heading2"/>
        <w:spacing w:after="120" w:before="240"/>
      </w:pPr>
      <w:r>
        <w:rPr>
          <w:b/>
          <w:bCs/>
          <w:color w:val="0F1F44"/>
          <w:sz w:val="24"/>
          <w:szCs w:val="24"/>
        </w:rPr>
        <w:t xml:space="preserve">1.2 Out of scope</w:t>
      </w:r>
    </w:p>
    <w:p>
      <w:pPr>
        <w:pStyle w:val="ListParagraph"/>
        <w:numPr>
          <w:ilvl w:val="0"/>
          <w:numId w:val="2"/>
        </w:numPr>
        <w:spacing w:after="80" w:line="280"/>
      </w:pPr>
      <w:r>
        <w:t xml:space="preserve">Deterministic rule engines with no learned component (governed under existing change management).</w:t>
      </w:r>
    </w:p>
    <w:p>
      <w:pPr>
        <w:pStyle w:val="ListParagraph"/>
        <w:numPr>
          <w:ilvl w:val="0"/>
          <w:numId w:val="2"/>
        </w:numPr>
        <w:spacing w:after="80" w:line="280"/>
      </w:pPr>
      <w:r>
        <w:t xml:space="preserve">Personal-productivity AI use where company data is NOT processed (covered by the Acceptable Use Policy in §10).</w:t>
      </w:r>
    </w:p>
    <w:p>
      <w:pPr>
        <w:pStyle w:val="Heading1"/>
        <w:spacing w:after="160" w:before="360"/>
      </w:pPr>
      <w:r>
        <w:rPr>
          <w:b/>
          <w:bCs/>
          <w:color w:val="1F3864"/>
          <w:sz w:val="30"/>
          <w:szCs w:val="30"/>
        </w:rPr>
        <w:t xml:space="preserve">2. Principles</w:t>
      </w:r>
    </w:p>
    <w:p>
      <w:pPr>
        <w:spacing w:after="120" w:line="300"/>
      </w:pPr>
      <w:r>
        <w:t xml:space="preserve">Every AI system in scope will be designed, delivered and operated in line with the following principles. They are intentionally brief — detail lives in the process sections.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Principle</w:t>
            </w:r>
          </w:p>
        </w:tc>
        <w:tc>
          <w:tcPr>
            <w:tcW w:type="pct" w:w="78%"/>
            <w:shd w:fill="1F3864" w:color="auto" w:val="clear"/>
            <w:tcMar>
              <w:top w:type="dxa" w:w="80"/>
              <w:left w:type="dxa" w:w="120"/>
              <w:bottom w:type="dxa" w:w="80"/>
              <w:right w:type="dxa" w:w="120"/>
            </w:tcMar>
          </w:tcPr>
          <w:p>
            <w:pPr>
              <w:spacing w:after="40"/>
              <w:jc w:val="left"/>
            </w:pPr>
            <w:r>
              <w:rPr>
                <w:b/>
                <w:bCs/>
                <w:color w:val="FFFFFF"/>
                <w:sz w:val="20"/>
                <w:szCs w:val="20"/>
              </w:rPr>
              <w:t xml:space="preserve">What it means in practice</w:t>
            </w:r>
          </w:p>
        </w:tc>
      </w:tr>
      <w:tr>
        <w:tc>
          <w:tcPr>
            <w:tcMar>
              <w:top w:type="dxa" w:w="80"/>
              <w:left w:type="dxa" w:w="120"/>
              <w:bottom w:type="dxa" w:w="80"/>
              <w:right w:type="dxa" w:w="120"/>
            </w:tcMar>
          </w:tcPr>
          <w:p>
            <w:pPr>
              <w:spacing w:after="40"/>
              <w:jc w:val="left"/>
            </w:pPr>
            <w:r>
              <w:rPr>
                <w:b/>
                <w:bCs/>
                <w:color w:val="1B1B1F"/>
                <w:sz w:val="20"/>
                <w:szCs w:val="20"/>
              </w:rPr>
              <w:t xml:space="preserve">Human accountability</w:t>
            </w:r>
          </w:p>
        </w:tc>
        <w:tc>
          <w:tcPr>
            <w:tcMar>
              <w:top w:type="dxa" w:w="80"/>
              <w:left w:type="dxa" w:w="120"/>
              <w:bottom w:type="dxa" w:w="80"/>
              <w:right w:type="dxa" w:w="120"/>
            </w:tcMar>
          </w:tcPr>
          <w:p>
            <w:pPr>
              <w:spacing w:after="40"/>
              <w:jc w:val="left"/>
            </w:pPr>
            <w:r>
              <w:rPr>
                <w:b w:val="false"/>
                <w:bCs w:val="false"/>
                <w:color w:val="1B1B1F"/>
                <w:sz w:val="20"/>
                <w:szCs w:val="20"/>
              </w:rPr>
              <w:t xml:space="preserve">Every AI system has a named owner accountable for its behaviour. No AI system makes consequential decisions without a human being accountable for that decision.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Fit for purpose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The chosen AI approach matches the problem. We do not deploy AI where simpler tools would be safer, cheaper, or more explainable.</w:t>
            </w:r>
          </w:p>
        </w:tc>
      </w:tr>
      <w:tr>
        <w:tc>
          <w:tcPr>
            <w:tcMar>
              <w:top w:type="dxa" w:w="80"/>
              <w:left w:type="dxa" w:w="120"/>
              <w:bottom w:type="dxa" w:w="80"/>
              <w:right w:type="dxa" w:w="120"/>
            </w:tcMar>
          </w:tcPr>
          <w:p>
            <w:pPr>
              <w:spacing w:after="40"/>
              <w:jc w:val="left"/>
            </w:pPr>
            <w:r>
              <w:rPr>
                <w:b/>
                <w:bCs/>
                <w:color w:val="1B1B1F"/>
                <w:sz w:val="20"/>
                <w:szCs w:val="20"/>
              </w:rPr>
              <w:t xml:space="preserve">Fairness and non-discrimination</w:t>
            </w:r>
          </w:p>
        </w:tc>
        <w:tc>
          <w:tcPr>
            <w:tcMar>
              <w:top w:type="dxa" w:w="80"/>
              <w:left w:type="dxa" w:w="120"/>
              <w:bottom w:type="dxa" w:w="80"/>
              <w:right w:type="dxa" w:w="120"/>
            </w:tcMar>
          </w:tcPr>
          <w:p>
            <w:pPr>
              <w:spacing w:after="40"/>
              <w:jc w:val="left"/>
            </w:pPr>
            <w:r>
              <w:rPr>
                <w:b w:val="false"/>
                <w:bCs w:val="false"/>
                <w:color w:val="1B1B1F"/>
                <w:sz w:val="20"/>
                <w:szCs w:val="20"/>
              </w:rPr>
              <w:t xml:space="preserve">AI decisions do not systematically disadvantage protected groups. Fairness is measured, not assumed, and reviewed at defined cadence.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Transparency and explainability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Customers, employees and regulators can be told, in plain language, when AI is used and on what basis it acted.</w:t>
            </w:r>
          </w:p>
        </w:tc>
      </w:tr>
      <w:tr>
        <w:tc>
          <w:tcPr>
            <w:tcMar>
              <w:top w:type="dxa" w:w="80"/>
              <w:left w:type="dxa" w:w="120"/>
              <w:bottom w:type="dxa" w:w="80"/>
              <w:right w:type="dxa" w:w="120"/>
            </w:tcMar>
          </w:tcPr>
          <w:p>
            <w:pPr>
              <w:spacing w:after="40"/>
              <w:jc w:val="left"/>
            </w:pPr>
            <w:r>
              <w:rPr>
                <w:b/>
                <w:bCs/>
                <w:color w:val="1B1B1F"/>
                <w:sz w:val="20"/>
                <w:szCs w:val="20"/>
              </w:rPr>
              <w:t xml:space="preserve">Privacy and data minimisation</w:t>
            </w:r>
          </w:p>
        </w:tc>
        <w:tc>
          <w:tcPr>
            <w:tcMar>
              <w:top w:type="dxa" w:w="80"/>
              <w:left w:type="dxa" w:w="120"/>
              <w:bottom w:type="dxa" w:w="80"/>
              <w:right w:type="dxa" w:w="120"/>
            </w:tcMar>
          </w:tcPr>
          <w:p>
            <w:pPr>
              <w:spacing w:after="40"/>
              <w:jc w:val="left"/>
            </w:pPr>
            <w:r>
              <w:rPr>
                <w:b w:val="false"/>
                <w:bCs w:val="false"/>
                <w:color w:val="1B1B1F"/>
                <w:sz w:val="20"/>
                <w:szCs w:val="20"/>
              </w:rPr>
              <w:t xml:space="preserve">AI systems use the least data necessary. Personal data use complies with POPIA, NDPA, KDPA and all applicable local statutes. Customer data is never used to train foundation models.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Security and resilience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systems inherit the organisation's identity, network, DLP, monitoring and incident-response controls. They are not exceptions.</w:t>
            </w:r>
          </w:p>
        </w:tc>
      </w:tr>
      <w:tr>
        <w:tc>
          <w:tcPr>
            <w:tcMar>
              <w:top w:type="dxa" w:w="80"/>
              <w:left w:type="dxa" w:w="120"/>
              <w:bottom w:type="dxa" w:w="80"/>
              <w:right w:type="dxa" w:w="120"/>
            </w:tcMar>
          </w:tcPr>
          <w:p>
            <w:pPr>
              <w:spacing w:after="40"/>
              <w:jc w:val="left"/>
            </w:pPr>
            <w:r>
              <w:rPr>
                <w:b/>
                <w:bCs/>
                <w:color w:val="1B1B1F"/>
                <w:sz w:val="20"/>
                <w:szCs w:val="20"/>
              </w:rPr>
              <w:t xml:space="preserve">Measured value</w:t>
            </w:r>
          </w:p>
        </w:tc>
        <w:tc>
          <w:tcPr>
            <w:tcMar>
              <w:top w:type="dxa" w:w="80"/>
              <w:left w:type="dxa" w:w="120"/>
              <w:bottom w:type="dxa" w:w="80"/>
              <w:right w:type="dxa" w:w="120"/>
            </w:tcMar>
          </w:tcPr>
          <w:p>
            <w:pPr>
              <w:spacing w:after="40"/>
              <w:jc w:val="left"/>
            </w:pPr>
            <w:r>
              <w:rPr>
                <w:b w:val="false"/>
                <w:bCs w:val="false"/>
                <w:color w:val="1B1B1F"/>
                <w:sz w:val="20"/>
                <w:szCs w:val="20"/>
              </w:rPr>
              <w:t xml:space="preserve">Every AI system has a defined value hypothesis and a measurement plan. Systems that do not deliver value are retired.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Proportionate governance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Controls scale with risk. Minimal-risk systems move fast; high-risk systems receive deep scrutiny.</w:t>
            </w:r>
          </w:p>
        </w:tc>
      </w:tr>
    </w:tbl>
    <w:p>
      <w:pPr>
        <w:pStyle w:val="Heading1"/>
        <w:spacing w:after="160" w:before="360"/>
      </w:pPr>
      <w:r>
        <w:rPr>
          <w:b/>
          <w:bCs/>
          <w:color w:val="1F3864"/>
          <w:sz w:val="30"/>
          <w:szCs w:val="30"/>
        </w:rPr>
        <w:t xml:space="preserve">3. Definitions</w:t>
      </w:r>
    </w:p>
    <w:p>
      <w:pPr>
        <w:spacing w:after="120" w:line="300"/>
      </w:pPr>
      <w:r>
        <w:t xml:space="preserve">The following definitions apply throughout this framework. Where a term is not defined here, the definition from ISO/IEC 22989 (AI concepts and terminology) is used.</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Term</w:t>
            </w:r>
          </w:p>
        </w:tc>
        <w:tc>
          <w:tcPr>
            <w:tcW w:type="pct" w:w="76%"/>
            <w:shd w:fill="1F3864" w:color="auto" w:val="clear"/>
            <w:tcMar>
              <w:top w:type="dxa" w:w="80"/>
              <w:left w:type="dxa" w:w="120"/>
              <w:bottom w:type="dxa" w:w="80"/>
              <w:right w:type="dxa" w:w="120"/>
            </w:tcMar>
          </w:tcPr>
          <w:p>
            <w:pPr>
              <w:spacing w:after="40"/>
              <w:jc w:val="left"/>
            </w:pPr>
            <w:r>
              <w:rPr>
                <w:b/>
                <w:bCs/>
                <w:color w:val="FFFFFF"/>
                <w:sz w:val="20"/>
                <w:szCs w:val="20"/>
              </w:rPr>
              <w:t xml:space="preserve">Definition</w:t>
            </w:r>
          </w:p>
        </w:tc>
      </w:tr>
      <w:tr>
        <w:tc>
          <w:tcPr>
            <w:tcMar>
              <w:top w:type="dxa" w:w="80"/>
              <w:left w:type="dxa" w:w="120"/>
              <w:bottom w:type="dxa" w:w="80"/>
              <w:right w:type="dxa" w:w="120"/>
            </w:tcMar>
          </w:tcPr>
          <w:p>
            <w:pPr>
              <w:spacing w:after="40"/>
              <w:jc w:val="left"/>
            </w:pPr>
            <w:r>
              <w:rPr>
                <w:b/>
                <w:bCs/>
                <w:color w:val="1B1B1F"/>
                <w:sz w:val="20"/>
                <w:szCs w:val="20"/>
              </w:rPr>
              <w:t xml:space="preserve">AI system</w:t>
            </w:r>
          </w:p>
        </w:tc>
        <w:tc>
          <w:tcPr>
            <w:tcMar>
              <w:top w:type="dxa" w:w="80"/>
              <w:left w:type="dxa" w:w="120"/>
              <w:bottom w:type="dxa" w:w="80"/>
              <w:right w:type="dxa" w:w="120"/>
            </w:tcMar>
          </w:tcPr>
          <w:p>
            <w:pPr>
              <w:spacing w:after="40"/>
              <w:jc w:val="left"/>
            </w:pPr>
            <w:r>
              <w:rPr>
                <w:b w:val="false"/>
                <w:bCs w:val="false"/>
                <w:color w:val="1B1B1F"/>
                <w:sz w:val="20"/>
                <w:szCs w:val="20"/>
              </w:rPr>
              <w:t xml:space="preserve">Any software component that uses machine learning or generative models to produce outputs that are not deterministically derived from rules.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Foundation model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 large pre-trained model used as a base for downstream tasks (e.g. GPT-4 class models, Claude Opus/Sonnet, Azure OpenAI models).</w:t>
            </w:r>
          </w:p>
        </w:tc>
      </w:tr>
      <w:tr>
        <w:tc>
          <w:tcPr>
            <w:tcMar>
              <w:top w:type="dxa" w:w="80"/>
              <w:left w:type="dxa" w:w="120"/>
              <w:bottom w:type="dxa" w:w="80"/>
              <w:right w:type="dxa" w:w="120"/>
            </w:tcMar>
          </w:tcPr>
          <w:p>
            <w:pPr>
              <w:spacing w:after="40"/>
              <w:jc w:val="left"/>
            </w:pPr>
            <w:r>
              <w:rPr>
                <w:b/>
                <w:bCs/>
                <w:color w:val="1B1B1F"/>
                <w:sz w:val="20"/>
                <w:szCs w:val="20"/>
              </w:rPr>
              <w:t xml:space="preserve">AI agent</w:t>
            </w:r>
          </w:p>
        </w:tc>
        <w:tc>
          <w:tcPr>
            <w:tcMar>
              <w:top w:type="dxa" w:w="80"/>
              <w:left w:type="dxa" w:w="120"/>
              <w:bottom w:type="dxa" w:w="80"/>
              <w:right w:type="dxa" w:w="120"/>
            </w:tcMar>
          </w:tcPr>
          <w:p>
            <w:pPr>
              <w:spacing w:after="40"/>
              <w:jc w:val="left"/>
            </w:pPr>
            <w:r>
              <w:rPr>
                <w:b w:val="false"/>
                <w:bCs w:val="false"/>
                <w:color w:val="1B1B1F"/>
                <w:sz w:val="20"/>
                <w:szCs w:val="20"/>
              </w:rPr>
              <w:t xml:space="preserve">An AI system that autonomously selects and executes tools, possibly across multiple steps, to accomplish a goal.</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Use case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 specific business application of AI with an identified owner, audience, data scope and success measure.</w:t>
            </w:r>
          </w:p>
        </w:tc>
      </w:tr>
      <w:tr>
        <w:tc>
          <w:tcPr>
            <w:tcMar>
              <w:top w:type="dxa" w:w="80"/>
              <w:left w:type="dxa" w:w="120"/>
              <w:bottom w:type="dxa" w:w="80"/>
              <w:right w:type="dxa" w:w="120"/>
            </w:tcMar>
          </w:tcPr>
          <w:p>
            <w:pPr>
              <w:spacing w:after="40"/>
              <w:jc w:val="left"/>
            </w:pPr>
            <w:r>
              <w:rPr>
                <w:b/>
                <w:bCs/>
                <w:color w:val="1B1B1F"/>
                <w:sz w:val="20"/>
                <w:szCs w:val="20"/>
              </w:rPr>
              <w:t xml:space="preserve">Model owner</w:t>
            </w:r>
          </w:p>
        </w:tc>
        <w:tc>
          <w:tcPr>
            <w:tcMar>
              <w:top w:type="dxa" w:w="80"/>
              <w:left w:type="dxa" w:w="120"/>
              <w:bottom w:type="dxa" w:w="80"/>
              <w:right w:type="dxa" w:w="120"/>
            </w:tcMar>
          </w:tcPr>
          <w:p>
            <w:pPr>
              <w:spacing w:after="40"/>
              <w:jc w:val="left"/>
            </w:pPr>
            <w:r>
              <w:rPr>
                <w:b w:val="false"/>
                <w:bCs w:val="false"/>
                <w:color w:val="1B1B1F"/>
                <w:sz w:val="20"/>
                <w:szCs w:val="20"/>
              </w:rPr>
              <w:t xml:space="preserve">The accountable business leader for a specific AI system. Signs off on deployment, monitoring and retirement.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AI Council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The cross-functional forum defined in §4 that approves use cases, oversees the portfolio and reviews incidents.</w:t>
            </w:r>
          </w:p>
        </w:tc>
      </w:tr>
    </w:tbl>
    <w:p>
      <w:pPr>
        <w:pStyle w:val="Heading1"/>
        <w:spacing w:after="160" w:before="360"/>
      </w:pPr>
      <w:r>
        <w:rPr>
          <w:b/>
          <w:bCs/>
          <w:color w:val="1F3864"/>
          <w:sz w:val="30"/>
          <w:szCs w:val="30"/>
        </w:rPr>
        <w:t xml:space="preserve">4. AI Council</w:t>
      </w:r>
    </w:p>
    <w:p>
      <w:pPr>
        <w:spacing w:after="120" w:line="300"/>
      </w:pPr>
      <w:r>
        <w:t xml:space="preserve">The AI Council is the accountable forum for AI governance across the organisation. It is chaired by the Head of AI &amp; Automation and meets monthly, with emergency sessions convened on material incidents.</w:t>
      </w:r>
    </w:p>
    <w:p>
      <w:pPr>
        <w:pStyle w:val="Heading2"/>
        <w:spacing w:after="120" w:before="240"/>
      </w:pPr>
      <w:r>
        <w:rPr>
          <w:b/>
          <w:bCs/>
          <w:color w:val="0F1F44"/>
          <w:sz w:val="24"/>
          <w:szCs w:val="24"/>
        </w:rPr>
        <w:t xml:space="preserve">4.1 Membership</w:t>
      </w:r>
    </w:p>
    <w:p>
      <w:pPr>
        <w:pStyle w:val="ListParagraph"/>
        <w:numPr>
          <w:ilvl w:val="0"/>
          <w:numId w:val="2"/>
        </w:numPr>
        <w:spacing w:after="80" w:line="280"/>
      </w:pPr>
      <w:r>
        <w:t xml:space="preserve">Chair: Head of AI &amp; Automation (permanent)</w:t>
      </w:r>
    </w:p>
    <w:p>
      <w:pPr>
        <w:pStyle w:val="ListParagraph"/>
        <w:numPr>
          <w:ilvl w:val="0"/>
          <w:numId w:val="2"/>
        </w:numPr>
        <w:spacing w:after="80" w:line="280"/>
      </w:pPr>
      <w:r>
        <w:t xml:space="preserve">CIO or CTO delegate (permanent)</w:t>
      </w:r>
    </w:p>
    <w:p>
      <w:pPr>
        <w:pStyle w:val="ListParagraph"/>
        <w:numPr>
          <w:ilvl w:val="0"/>
          <w:numId w:val="2"/>
        </w:numPr>
        <w:spacing w:after="80" w:line="280"/>
      </w:pPr>
      <w:r>
        <w:t xml:space="preserve">CISO or nominated deputy (permanent)</w:t>
      </w:r>
    </w:p>
    <w:p>
      <w:pPr>
        <w:pStyle w:val="ListParagraph"/>
        <w:numPr>
          <w:ilvl w:val="0"/>
          <w:numId w:val="2"/>
        </w:numPr>
        <w:spacing w:after="80" w:line="280"/>
      </w:pPr>
      <w:r>
        <w:t xml:space="preserve">Chief Risk Officer or Head of Operational Risk (permanent)</w:t>
      </w:r>
    </w:p>
    <w:p>
      <w:pPr>
        <w:pStyle w:val="ListParagraph"/>
        <w:numPr>
          <w:ilvl w:val="0"/>
          <w:numId w:val="2"/>
        </w:numPr>
        <w:spacing w:after="80" w:line="280"/>
      </w:pPr>
      <w:r>
        <w:t xml:space="preserve">Data Protection Officer (permanent)</w:t>
      </w:r>
    </w:p>
    <w:p>
      <w:pPr>
        <w:pStyle w:val="ListParagraph"/>
        <w:numPr>
          <w:ilvl w:val="0"/>
          <w:numId w:val="2"/>
        </w:numPr>
        <w:spacing w:after="80" w:line="280"/>
      </w:pPr>
      <w:r>
        <w:t xml:space="preserve">General Counsel or nominated legal lead (permanent)</w:t>
      </w:r>
    </w:p>
    <w:p>
      <w:pPr>
        <w:pStyle w:val="ListParagraph"/>
        <w:numPr>
          <w:ilvl w:val="0"/>
          <w:numId w:val="2"/>
        </w:numPr>
        <w:spacing w:after="80" w:line="280"/>
      </w:pPr>
      <w:r>
        <w:t xml:space="preserve">Head of Engineering (permanent)</w:t>
      </w:r>
    </w:p>
    <w:p>
      <w:pPr>
        <w:pStyle w:val="ListParagraph"/>
        <w:numPr>
          <w:ilvl w:val="0"/>
          <w:numId w:val="2"/>
        </w:numPr>
        <w:spacing w:after="80" w:line="280"/>
      </w:pPr>
      <w:r>
        <w:t xml:space="preserve">Head of Data / Analytics (permanent)</w:t>
      </w:r>
    </w:p>
    <w:p>
      <w:pPr>
        <w:pStyle w:val="ListParagraph"/>
        <w:numPr>
          <w:ilvl w:val="0"/>
          <w:numId w:val="2"/>
        </w:numPr>
        <w:spacing w:after="80" w:line="280"/>
      </w:pPr>
      <w:r>
        <w:t xml:space="preserve">Rotating business leader (per use case)</w:t>
      </w:r>
    </w:p>
    <w:p>
      <w:pPr>
        <w:pStyle w:val="ListParagraph"/>
        <w:numPr>
          <w:ilvl w:val="0"/>
          <w:numId w:val="2"/>
        </w:numPr>
        <w:spacing w:after="80" w:line="280"/>
      </w:pPr>
      <w:r>
        <w:t xml:space="preserve">Secretary (AI &amp; Automation programme manager, non-voting)</w:t>
      </w:r>
    </w:p>
    <w:p>
      <w:pPr>
        <w:pStyle w:val="Heading2"/>
        <w:spacing w:after="120" w:before="240"/>
      </w:pPr>
      <w:r>
        <w:rPr>
          <w:b/>
          <w:bCs/>
          <w:color w:val="0F1F44"/>
          <w:sz w:val="24"/>
          <w:szCs w:val="24"/>
        </w:rPr>
        <w:t xml:space="preserve">4.2 Decision rights and quorum</w:t>
      </w:r>
    </w:p>
    <w:p>
      <w:pPr>
        <w:pStyle w:val="ListParagraph"/>
        <w:numPr>
          <w:ilvl w:val="0"/>
          <w:numId w:val="2"/>
        </w:numPr>
        <w:spacing w:after="80" w:line="280"/>
      </w:pPr>
      <w:r>
        <w:t xml:space="preserve">Quorum: five permanent members, including either CISO or DPO, and either the CRO or a risk delegate.</w:t>
      </w:r>
    </w:p>
    <w:p>
      <w:pPr>
        <w:pStyle w:val="ListParagraph"/>
        <w:numPr>
          <w:ilvl w:val="0"/>
          <w:numId w:val="2"/>
        </w:numPr>
        <w:spacing w:after="80" w:line="280"/>
      </w:pPr>
      <w:r>
        <w:t xml:space="preserve">Approvals of high-risk (Tier 1) use cases require unanimous vote of permanent members present.</w:t>
      </w:r>
    </w:p>
    <w:p>
      <w:pPr>
        <w:pStyle w:val="ListParagraph"/>
        <w:numPr>
          <w:ilvl w:val="0"/>
          <w:numId w:val="2"/>
        </w:numPr>
        <w:spacing w:after="80" w:line="280"/>
      </w:pPr>
      <w:r>
        <w:t xml:space="preserve">Approvals of Tier 2 use cases require a simple majority.</w:t>
      </w:r>
    </w:p>
    <w:p>
      <w:pPr>
        <w:pStyle w:val="ListParagraph"/>
        <w:numPr>
          <w:ilvl w:val="0"/>
          <w:numId w:val="2"/>
        </w:numPr>
        <w:spacing w:after="80" w:line="280"/>
      </w:pPr>
      <w:r>
        <w:t xml:space="preserve">Tier 3 use cases are pre-approved subject to registration and meeting control baselines (fast-track).</w:t>
      </w:r>
    </w:p>
    <w:p>
      <w:pPr>
        <w:pStyle w:val="ListParagraph"/>
        <w:numPr>
          <w:ilvl w:val="0"/>
          <w:numId w:val="2"/>
        </w:numPr>
        <w:spacing w:after="80" w:line="280"/>
      </w:pPr>
      <w:r>
        <w:t xml:space="preserve">Tier 4 use cases (prohibited) cannot be approved at Council level; any exception requires Executive Committee sign-off.</w:t>
      </w:r>
    </w:p>
    <w:p>
      <w:pPr>
        <w:pStyle w:val="Heading2"/>
        <w:spacing w:after="120" w:before="240"/>
      </w:pPr>
      <w:r>
        <w:rPr>
          <w:b/>
          <w:bCs/>
          <w:color w:val="0F1F44"/>
          <w:sz w:val="24"/>
          <w:szCs w:val="24"/>
        </w:rPr>
        <w:t xml:space="preserve">4.3 Cadence and outputs</w:t>
      </w:r>
    </w:p>
    <w:p>
      <w:pPr>
        <w:pStyle w:val="ListParagraph"/>
        <w:numPr>
          <w:ilvl w:val="0"/>
          <w:numId w:val="2"/>
        </w:numPr>
        <w:spacing w:after="80" w:line="280"/>
      </w:pPr>
      <w:r>
        <w:t xml:space="preserve">Monthly standing meeting (90 minutes) covering: new use-case approvals, portfolio review, incident log, regulatory horizon scan, policy change requests.</w:t>
      </w:r>
    </w:p>
    <w:p>
      <w:pPr>
        <w:pStyle w:val="ListParagraph"/>
        <w:numPr>
          <w:ilvl w:val="0"/>
          <w:numId w:val="2"/>
        </w:numPr>
        <w:spacing w:after="80" w:line="280"/>
      </w:pPr>
      <w:r>
        <w:t xml:space="preserve">Quarterly deep-review session with Board Risk Committee (60 minutes) covering portfolio posture and material changes.</w:t>
      </w:r>
    </w:p>
    <w:p>
      <w:pPr>
        <w:pStyle w:val="ListParagraph"/>
        <w:numPr>
          <w:ilvl w:val="0"/>
          <w:numId w:val="2"/>
        </w:numPr>
        <w:spacing w:after="80" w:line="280"/>
      </w:pPr>
      <w:r>
        <w:t xml:space="preserve">Ad-hoc sessions convened within 48 hours for any material AI incident.</w:t>
      </w:r>
    </w:p>
    <w:p>
      <w:pPr>
        <w:pStyle w:val="ListParagraph"/>
        <w:numPr>
          <w:ilvl w:val="0"/>
          <w:numId w:val="2"/>
        </w:numPr>
        <w:spacing w:after="80" w:line="280"/>
      </w:pPr>
      <w:r>
        <w:t xml:space="preserve">Outputs: approvals register, minutes, action log, decision log — all retained in the AI use-case register.</w:t>
      </w:r>
    </w:p>
    <w:p>
      <w:pPr>
        <w:pStyle w:val="Heading2"/>
        <w:spacing w:after="120" w:before="240"/>
      </w:pPr>
      <w:r>
        <w:rPr>
          <w:b/>
          <w:bCs/>
          <w:color w:val="0F1F44"/>
          <w:sz w:val="24"/>
          <w:szCs w:val="24"/>
        </w:rPr>
        <w:t xml:space="preserve">4.4 Escalation</w:t>
      </w:r>
    </w:p>
    <w:p>
      <w:pPr>
        <w:spacing w:after="120" w:line="300"/>
      </w:pPr>
      <w:r>
        <w:t xml:space="preserve">Matters the Council cannot resolve within two meetings are escalated to the Executive Committee with a recommendation. Matters with enterprise-level regulatory exposure are escalated to the Board Risk Committee.</w:t>
      </w:r>
    </w:p>
    <w:p>
      <w:pPr>
        <w:pStyle w:val="Heading1"/>
        <w:spacing w:after="160" w:before="360"/>
      </w:pPr>
      <w:r>
        <w:rPr>
          <w:b/>
          <w:bCs/>
          <w:color w:val="1F3864"/>
          <w:sz w:val="30"/>
          <w:szCs w:val="30"/>
        </w:rPr>
        <w:t xml:space="preserve">5. Risk Tiering</w:t>
      </w:r>
    </w:p>
    <w:p>
      <w:pPr>
        <w:spacing w:after="120" w:line="300"/>
      </w:pPr>
      <w:r>
        <w:t xml:space="preserve">Every AI system is classified into one of four tiers. The tier sets the depth of approval, validation and monitoring required. Classification is proposed by the model owner, reviewed by the AI &amp; Automation function, and confirmed by the AI Council.</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Tier</w:t>
            </w:r>
          </w:p>
        </w:tc>
        <w:tc>
          <w:tcPr>
            <w:tcW w:type="pct" w:w="16%"/>
            <w:shd w:fill="1F3864" w:color="auto" w:val="clear"/>
            <w:tcMar>
              <w:top w:type="dxa" w:w="80"/>
              <w:left w:type="dxa" w:w="120"/>
              <w:bottom w:type="dxa" w:w="80"/>
              <w:right w:type="dxa" w:w="120"/>
            </w:tcMar>
          </w:tcPr>
          <w:p>
            <w:pPr>
              <w:spacing w:after="40"/>
              <w:jc w:val="left"/>
            </w:pPr>
            <w:r>
              <w:rPr>
                <w:b/>
                <w:bCs/>
                <w:color w:val="FFFFFF"/>
                <w:sz w:val="20"/>
                <w:szCs w:val="20"/>
              </w:rPr>
              <w:t xml:space="preserve">Name</w:t>
            </w:r>
          </w:p>
        </w:tc>
        <w:tc>
          <w:tcPr>
            <w:tcW w:type="pct" w:w="42%"/>
            <w:shd w:fill="1F3864" w:color="auto" w:val="clear"/>
            <w:tcMar>
              <w:top w:type="dxa" w:w="80"/>
              <w:left w:type="dxa" w:w="120"/>
              <w:bottom w:type="dxa" w:w="80"/>
              <w:right w:type="dxa" w:w="120"/>
            </w:tcMar>
          </w:tcPr>
          <w:p>
            <w:pPr>
              <w:spacing w:after="40"/>
              <w:jc w:val="left"/>
            </w:pPr>
            <w:r>
              <w:rPr>
                <w:b/>
                <w:bCs/>
                <w:color w:val="FFFFFF"/>
                <w:sz w:val="20"/>
                <w:szCs w:val="20"/>
              </w:rPr>
              <w:t xml:space="preserve">Description</w:t>
            </w:r>
          </w:p>
        </w:tc>
        <w:tc>
          <w:tcPr>
            <w:tcW w:type="pct" w:w="32%"/>
            <w:shd w:fill="1F3864" w:color="auto" w:val="clear"/>
            <w:tcMar>
              <w:top w:type="dxa" w:w="80"/>
              <w:left w:type="dxa" w:w="120"/>
              <w:bottom w:type="dxa" w:w="80"/>
              <w:right w:type="dxa" w:w="120"/>
            </w:tcMar>
          </w:tcPr>
          <w:p>
            <w:pPr>
              <w:spacing w:after="40"/>
              <w:jc w:val="left"/>
            </w:pPr>
            <w:r>
              <w:rPr>
                <w:b/>
                <w:bCs/>
                <w:color w:val="FFFFFF"/>
                <w:sz w:val="20"/>
                <w:szCs w:val="20"/>
              </w:rPr>
              <w:t xml:space="preserve">Examples</w:t>
            </w:r>
          </w:p>
        </w:tc>
      </w:tr>
      <w:tr>
        <w:tc>
          <w:tcPr>
            <w:tcMar>
              <w:top w:type="dxa" w:w="80"/>
              <w:left w:type="dxa" w:w="120"/>
              <w:bottom w:type="dxa" w:w="80"/>
              <w:right w:type="dxa" w:w="120"/>
            </w:tcMar>
          </w:tcPr>
          <w:p>
            <w:pPr>
              <w:spacing w:after="40"/>
              <w:jc w:val="center"/>
            </w:pPr>
            <w:r>
              <w:rPr>
                <w:b/>
                <w:bCs/>
                <w:color w:val="B23A3A"/>
                <w:sz w:val="20"/>
                <w:szCs w:val="20"/>
              </w:rPr>
              <w:t xml:space="preserve">T1</w:t>
            </w:r>
          </w:p>
        </w:tc>
        <w:tc>
          <w:tcPr>
            <w:tcMar>
              <w:top w:type="dxa" w:w="80"/>
              <w:left w:type="dxa" w:w="120"/>
              <w:bottom w:type="dxa" w:w="80"/>
              <w:right w:type="dxa" w:w="120"/>
            </w:tcMar>
          </w:tcPr>
          <w:p>
            <w:pPr>
              <w:spacing w:after="40"/>
              <w:jc w:val="left"/>
            </w:pPr>
            <w:r>
              <w:rPr>
                <w:b/>
                <w:bCs/>
                <w:color w:val="1B1B1F"/>
                <w:sz w:val="20"/>
                <w:szCs w:val="20"/>
              </w:rPr>
              <w:t xml:space="preserve">High risk</w:t>
            </w:r>
          </w:p>
        </w:tc>
        <w:tc>
          <w:tcPr>
            <w:tcMar>
              <w:top w:type="dxa" w:w="80"/>
              <w:left w:type="dxa" w:w="120"/>
              <w:bottom w:type="dxa" w:w="80"/>
              <w:right w:type="dxa" w:w="120"/>
            </w:tcMar>
          </w:tcPr>
          <w:p>
            <w:pPr>
              <w:spacing w:after="40"/>
              <w:jc w:val="left"/>
            </w:pPr>
            <w:r>
              <w:rPr>
                <w:b w:val="false"/>
                <w:bCs w:val="false"/>
                <w:color w:val="1B1B1F"/>
                <w:sz w:val="20"/>
                <w:szCs w:val="20"/>
              </w:rPr>
              <w:t xml:space="preserve">Materially affects customer outcomes, regulatory standing, or enterprise risk. Requires full validation, independent review, ongoing monitoring, Council approval.</w:t>
            </w:r>
          </w:p>
        </w:tc>
        <w:tc>
          <w:tcPr>
            <w:tcMar>
              <w:top w:type="dxa" w:w="80"/>
              <w:left w:type="dxa" w:w="120"/>
              <w:bottom w:type="dxa" w:w="80"/>
              <w:right w:type="dxa" w:w="120"/>
            </w:tcMar>
          </w:tcPr>
          <w:p>
            <w:pPr>
              <w:spacing w:after="40"/>
              <w:jc w:val="left"/>
            </w:pPr>
            <w:r>
              <w:rPr>
                <w:b w:val="false"/>
                <w:bCs w:val="false"/>
                <w:color w:val="1B1B1F"/>
                <w:sz w:val="20"/>
                <w:szCs w:val="20"/>
              </w:rPr>
              <w:t xml:space="preserve">Credit decisioning; AML scoring; fraud adjudication; customer-facing chat that commits the bank; pricing.</w:t>
            </w:r>
          </w:p>
        </w:tc>
      </w:tr>
      <w:tr>
        <w:tc>
          <w:tcPr>
            <w:shd w:fill="F3F6FC" w:color="auto" w:val="clear"/>
            <w:tcMar>
              <w:top w:type="dxa" w:w="80"/>
              <w:left w:type="dxa" w:w="120"/>
              <w:bottom w:type="dxa" w:w="80"/>
              <w:right w:type="dxa" w:w="120"/>
            </w:tcMar>
          </w:tcPr>
          <w:p>
            <w:pPr>
              <w:spacing w:after="40"/>
              <w:jc w:val="center"/>
            </w:pPr>
            <w:r>
              <w:rPr>
                <w:b/>
                <w:bCs/>
                <w:color w:val="E2A72E"/>
                <w:sz w:val="20"/>
                <w:szCs w:val="20"/>
              </w:rPr>
              <w:t xml:space="preserve">T2</w:t>
            </w:r>
          </w:p>
        </w:tc>
        <w:tc>
          <w:tcPr>
            <w:shd w:fill="F3F6FC" w:color="auto" w:val="clear"/>
            <w:tcMar>
              <w:top w:type="dxa" w:w="80"/>
              <w:left w:type="dxa" w:w="120"/>
              <w:bottom w:type="dxa" w:w="80"/>
              <w:right w:type="dxa" w:w="120"/>
            </w:tcMar>
          </w:tcPr>
          <w:p>
            <w:pPr>
              <w:spacing w:after="40"/>
              <w:jc w:val="left"/>
            </w:pPr>
            <w:r>
              <w:rPr>
                <w:b/>
                <w:bCs/>
                <w:color w:val="1B1B1F"/>
                <w:sz w:val="20"/>
                <w:szCs w:val="20"/>
              </w:rPr>
              <w:t xml:space="preserve">Limited risk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Affects internal decisions, operational efficiency, or customer experience in advisory (not adjudicative) ways. Validation proportionate; Council approves.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Copilots for service agents; internal document search; AI-generated marketing content (reviewed); code-assist tools in regulated paths.</w:t>
            </w:r>
          </w:p>
        </w:tc>
      </w:tr>
      <w:tr>
        <w:tc>
          <w:tcPr>
            <w:tcMar>
              <w:top w:type="dxa" w:w="80"/>
              <w:left w:type="dxa" w:w="120"/>
              <w:bottom w:type="dxa" w:w="80"/>
              <w:right w:type="dxa" w:w="120"/>
            </w:tcMar>
          </w:tcPr>
          <w:p>
            <w:pPr>
              <w:spacing w:after="40"/>
              <w:jc w:val="center"/>
            </w:pPr>
            <w:r>
              <w:rPr>
                <w:b/>
                <w:bCs/>
                <w:color w:val="2F7D4F"/>
                <w:sz w:val="20"/>
                <w:szCs w:val="20"/>
              </w:rPr>
              <w:t xml:space="preserve">T3</w:t>
            </w:r>
          </w:p>
        </w:tc>
        <w:tc>
          <w:tcPr>
            <w:tcMar>
              <w:top w:type="dxa" w:w="80"/>
              <w:left w:type="dxa" w:w="120"/>
              <w:bottom w:type="dxa" w:w="80"/>
              <w:right w:type="dxa" w:w="120"/>
            </w:tcMar>
          </w:tcPr>
          <w:p>
            <w:pPr>
              <w:spacing w:after="40"/>
              <w:jc w:val="left"/>
            </w:pPr>
            <w:r>
              <w:rPr>
                <w:b/>
                <w:bCs/>
                <w:color w:val="1B1B1F"/>
                <w:sz w:val="20"/>
                <w:szCs w:val="20"/>
              </w:rPr>
              <w:t xml:space="preserve">Minimal risk</w:t>
            </w:r>
          </w:p>
        </w:tc>
        <w:tc>
          <w:tcPr>
            <w:tcMar>
              <w:top w:type="dxa" w:w="80"/>
              <w:left w:type="dxa" w:w="120"/>
              <w:bottom w:type="dxa" w:w="80"/>
              <w:right w:type="dxa" w:w="120"/>
            </w:tcMar>
          </w:tcPr>
          <w:p>
            <w:pPr>
              <w:spacing w:after="40"/>
              <w:jc w:val="left"/>
            </w:pPr>
            <w:r>
              <w:rPr>
                <w:b w:val="false"/>
                <w:bCs w:val="false"/>
                <w:color w:val="1B1B1F"/>
                <w:sz w:val="20"/>
                <w:szCs w:val="20"/>
              </w:rPr>
              <w:t xml:space="preserve">Productivity tools for employees on non-sensitive content. Registered, pre-approved, light-touch monitoring.</w:t>
            </w:r>
          </w:p>
        </w:tc>
        <w:tc>
          <w:tcPr>
            <w:tcMar>
              <w:top w:type="dxa" w:w="80"/>
              <w:left w:type="dxa" w:w="120"/>
              <w:bottom w:type="dxa" w:w="80"/>
              <w:right w:type="dxa" w:w="120"/>
            </w:tcMar>
          </w:tcPr>
          <w:p>
            <w:pPr>
              <w:spacing w:after="40"/>
              <w:jc w:val="left"/>
            </w:pPr>
            <w:r>
              <w:rPr>
                <w:b w:val="false"/>
                <w:bCs w:val="false"/>
                <w:color w:val="1B1B1F"/>
                <w:sz w:val="20"/>
                <w:szCs w:val="20"/>
              </w:rPr>
              <w:t xml:space="preserve">M365 Copilot on general business content; meeting summarisers on internal calls; document drafting assistants.</w:t>
            </w:r>
          </w:p>
        </w:tc>
      </w:tr>
      <w:tr>
        <w:tc>
          <w:tcPr>
            <w:shd w:fill="F3F6FC" w:color="auto" w:val="clear"/>
            <w:tcMar>
              <w:top w:type="dxa" w:w="80"/>
              <w:left w:type="dxa" w:w="120"/>
              <w:bottom w:type="dxa" w:w="80"/>
              <w:right w:type="dxa" w:w="120"/>
            </w:tcMar>
          </w:tcPr>
          <w:p>
            <w:pPr>
              <w:spacing w:after="40"/>
              <w:jc w:val="center"/>
            </w:pPr>
            <w:r>
              <w:rPr>
                <w:b/>
                <w:bCs/>
                <w:color w:val="8B0000"/>
                <w:sz w:val="20"/>
                <w:szCs w:val="20"/>
              </w:rPr>
              <w:t xml:space="preserve">T4</w:t>
            </w:r>
          </w:p>
        </w:tc>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Prohibited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 cases that the organisation will not deploy. Any exception requires Executive Committee approval with specific mitigations.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Fully autonomous credit decisions without human review; behavioural scoring of employees; emotion recognition in hiring; covert AI (not disclosed when material).</w:t>
            </w:r>
          </w:p>
        </w:tc>
      </w:tr>
    </w:tbl>
    <w:p>
      <w:pPr>
        <w:pStyle w:val="Heading1"/>
        <w:spacing w:after="160" w:before="360"/>
      </w:pPr>
      <w:r>
        <w:rPr>
          <w:b/>
          <w:bCs/>
          <w:color w:val="1F3864"/>
          <w:sz w:val="30"/>
          <w:szCs w:val="30"/>
        </w:rPr>
        <w:t xml:space="preserve">6. Use-Case Intake Process</w:t>
      </w:r>
    </w:p>
    <w:p>
      <w:pPr>
        <w:spacing w:after="120" w:line="300"/>
      </w:pPr>
      <w:r>
        <w:t xml:space="preserve">Every proposed AI system, regardless of tier, follows the same intake gate. The effort at each gate is proportionate to the proposed tier.</w:t>
      </w:r>
    </w:p>
    <w:p>
      <w:pPr>
        <w:pStyle w:val="Heading2"/>
        <w:spacing w:after="120" w:before="240"/>
      </w:pPr>
      <w:r>
        <w:rPr>
          <w:b/>
          <w:bCs/>
          <w:color w:val="0F1F44"/>
          <w:sz w:val="24"/>
          <w:szCs w:val="24"/>
        </w:rPr>
        <w:t xml:space="preserve">6.1 Stages</w:t>
      </w:r>
    </w:p>
    <w:p>
      <w:pPr>
        <w:pStyle w:val="ListParagraph"/>
        <w:numPr>
          <w:ilvl w:val="0"/>
          <w:numId w:val="2"/>
        </w:numPr>
        <w:spacing w:after="80" w:line="280"/>
      </w:pPr>
      <w:r>
        <w:t xml:space="preserve">Stage 1 — Proposal: submitter completes the Use-Case Intake Form (Appendix A). Triage happens within five working days.</w:t>
      </w:r>
    </w:p>
    <w:p>
      <w:pPr>
        <w:pStyle w:val="ListParagraph"/>
        <w:numPr>
          <w:ilvl w:val="0"/>
          <w:numId w:val="2"/>
        </w:numPr>
        <w:spacing w:after="80" w:line="280"/>
      </w:pPr>
      <w:r>
        <w:t xml:space="preserve">Stage 2 — Tiering: AI &amp; Automation proposes the tier based on data, audience and decision impact. Tier confirmed by Council (Tier 1 and Tier 2) or by Chair delegation (Tier 3).</w:t>
      </w:r>
    </w:p>
    <w:p>
      <w:pPr>
        <w:pStyle w:val="ListParagraph"/>
        <w:numPr>
          <w:ilvl w:val="0"/>
          <w:numId w:val="2"/>
        </w:numPr>
        <w:spacing w:after="80" w:line="280"/>
      </w:pPr>
      <w:r>
        <w:t xml:space="preserve">Stage 3 — Design review: for Tier 1 and Tier 2, architecture, data, model and controls are reviewed. Security, Privacy, Risk and Legal review in parallel.</w:t>
      </w:r>
    </w:p>
    <w:p>
      <w:pPr>
        <w:pStyle w:val="ListParagraph"/>
        <w:numPr>
          <w:ilvl w:val="0"/>
          <w:numId w:val="2"/>
        </w:numPr>
        <w:spacing w:after="80" w:line="280"/>
      </w:pPr>
      <w:r>
        <w:t xml:space="preserve">Stage 4 — Approval: Council vote (Tier 1 unanimous; Tier 2 majority) or Chair approval (Tier 3). Approval captured in the register with scope, limits, monitoring plan and review date.</w:t>
      </w:r>
    </w:p>
    <w:p>
      <w:pPr>
        <w:pStyle w:val="ListParagraph"/>
        <w:numPr>
          <w:ilvl w:val="0"/>
          <w:numId w:val="2"/>
        </w:numPr>
        <w:spacing w:after="80" w:line="280"/>
      </w:pPr>
      <w:r>
        <w:t xml:space="preserve">Stage 5 — Build and validate: proportionate to tier (see §8).</w:t>
      </w:r>
    </w:p>
    <w:p>
      <w:pPr>
        <w:pStyle w:val="ListParagraph"/>
        <w:numPr>
          <w:ilvl w:val="0"/>
          <w:numId w:val="2"/>
        </w:numPr>
        <w:spacing w:after="80" w:line="280"/>
      </w:pPr>
      <w:r>
        <w:t xml:space="preserve">Stage 6 — Deploy: only after the model owner signs the acceptance letter confirming controls are in place.</w:t>
      </w:r>
    </w:p>
    <w:p>
      <w:pPr>
        <w:pStyle w:val="ListParagraph"/>
        <w:numPr>
          <w:ilvl w:val="0"/>
          <w:numId w:val="2"/>
        </w:numPr>
        <w:spacing w:after="80" w:line="280"/>
      </w:pPr>
      <w:r>
        <w:t xml:space="preserve">Stage 7 — Operate: monitor against defined metrics; retrain/retire on defined triggers.</w:t>
      </w:r>
    </w:p>
    <w:p>
      <w:pPr>
        <w:pStyle w:val="ListParagraph"/>
        <w:numPr>
          <w:ilvl w:val="0"/>
          <w:numId w:val="2"/>
        </w:numPr>
        <w:spacing w:after="80" w:line="280"/>
      </w:pPr>
      <w:r>
        <w:t xml:space="preserve">Stage 8 — Decommission: remove access, archive artefacts, update the register.</w:t>
      </w:r>
    </w:p>
    <w:p>
      <w:pPr>
        <w:pStyle w:val="Heading2"/>
        <w:spacing w:after="120" w:before="240"/>
      </w:pPr>
      <w:r>
        <w:rPr>
          <w:b/>
          <w:bCs/>
          <w:color w:val="0F1F44"/>
          <w:sz w:val="24"/>
          <w:szCs w:val="24"/>
        </w:rPr>
        <w:t xml:space="preserve">6.2 Service-level commitments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0%"/>
            <w:shd w:fill="1F3864" w:color="auto" w:val="clear"/>
            <w:tcMar>
              <w:top w:type="dxa" w:w="80"/>
              <w:left w:type="dxa" w:w="120"/>
              <w:bottom w:type="dxa" w:w="80"/>
              <w:right w:type="dxa" w:w="120"/>
            </w:tcMar>
          </w:tcPr>
          <w:p>
            <w:pPr>
              <w:spacing w:after="40"/>
              <w:jc w:val="center"/>
            </w:pPr>
            <w:r>
              <w:rPr>
                <w:b/>
                <w:bCs/>
                <w:color w:val="FFFFFF"/>
                <w:sz w:val="20"/>
                <w:szCs w:val="20"/>
              </w:rPr>
              <w:t xml:space="preserve">Tier</w:t>
            </w:r>
          </w:p>
        </w:tc>
        <w:tc>
          <w:tcPr>
            <w:tcW w:type="pct" w:w="20%"/>
            <w:shd w:fill="1F3864" w:color="auto" w:val="clear"/>
            <w:tcMar>
              <w:top w:type="dxa" w:w="80"/>
              <w:left w:type="dxa" w:w="120"/>
              <w:bottom w:type="dxa" w:w="80"/>
              <w:right w:type="dxa" w:w="120"/>
            </w:tcMar>
          </w:tcPr>
          <w:p>
            <w:pPr>
              <w:spacing w:after="40"/>
              <w:jc w:val="center"/>
            </w:pPr>
            <w:r>
              <w:rPr>
                <w:b/>
                <w:bCs/>
                <w:color w:val="FFFFFF"/>
                <w:sz w:val="20"/>
                <w:szCs w:val="20"/>
              </w:rPr>
              <w:t xml:space="preserve">Triage</w:t>
            </w:r>
          </w:p>
        </w:tc>
        <w:tc>
          <w:tcPr>
            <w:tcW w:type="pct" w:w="30%"/>
            <w:shd w:fill="1F3864" w:color="auto" w:val="clear"/>
            <w:tcMar>
              <w:top w:type="dxa" w:w="80"/>
              <w:left w:type="dxa" w:w="120"/>
              <w:bottom w:type="dxa" w:w="80"/>
              <w:right w:type="dxa" w:w="120"/>
            </w:tcMar>
          </w:tcPr>
          <w:p>
            <w:pPr>
              <w:spacing w:after="40"/>
              <w:jc w:val="center"/>
            </w:pPr>
            <w:r>
              <w:rPr>
                <w:b/>
                <w:bCs/>
                <w:color w:val="FFFFFF"/>
                <w:sz w:val="20"/>
                <w:szCs w:val="20"/>
              </w:rPr>
              <w:t xml:space="preserve">Full approval</w:t>
            </w:r>
          </w:p>
        </w:tc>
        <w:tc>
          <w:tcPr>
            <w:tcW w:type="pct" w:w="30%"/>
            <w:shd w:fill="1F3864" w:color="auto" w:val="clear"/>
            <w:tcMar>
              <w:top w:type="dxa" w:w="80"/>
              <w:left w:type="dxa" w:w="120"/>
              <w:bottom w:type="dxa" w:w="80"/>
              <w:right w:type="dxa" w:w="120"/>
            </w:tcMar>
          </w:tcPr>
          <w:p>
            <w:pPr>
              <w:spacing w:after="40"/>
              <w:jc w:val="center"/>
            </w:pPr>
            <w:r>
              <w:rPr>
                <w:b/>
                <w:bCs/>
                <w:color w:val="FFFFFF"/>
                <w:sz w:val="20"/>
                <w:szCs w:val="20"/>
              </w:rPr>
              <w:t xml:space="preserve">Re-review cadence</w:t>
            </w:r>
          </w:p>
        </w:tc>
      </w:tr>
      <w:tr>
        <w:tc>
          <w:tcPr>
            <w:tcMar>
              <w:top w:type="dxa" w:w="80"/>
              <w:left w:type="dxa" w:w="120"/>
              <w:bottom w:type="dxa" w:w="80"/>
              <w:right w:type="dxa" w:w="120"/>
            </w:tcMar>
          </w:tcPr>
          <w:p>
            <w:pPr>
              <w:spacing w:after="40"/>
              <w:jc w:val="center"/>
            </w:pPr>
            <w:r>
              <w:rPr>
                <w:b/>
                <w:bCs/>
                <w:color w:val="1B1B1F"/>
                <w:sz w:val="20"/>
                <w:szCs w:val="20"/>
              </w:rPr>
              <w:t xml:space="preserve">T1 High</w:t>
            </w:r>
          </w:p>
        </w:tc>
        <w:tc>
          <w:tcPr>
            <w:tcMar>
              <w:top w:type="dxa" w:w="80"/>
              <w:left w:type="dxa" w:w="120"/>
              <w:bottom w:type="dxa" w:w="80"/>
              <w:right w:type="dxa" w:w="120"/>
            </w:tcMar>
          </w:tcPr>
          <w:p>
            <w:pPr>
              <w:spacing w:after="40"/>
              <w:jc w:val="center"/>
            </w:pPr>
            <w:r>
              <w:rPr>
                <w:b w:val="false"/>
                <w:bCs w:val="false"/>
                <w:color w:val="1B1B1F"/>
                <w:sz w:val="20"/>
                <w:szCs w:val="20"/>
              </w:rPr>
              <w:t xml:space="preserve">5 working days</w:t>
            </w:r>
          </w:p>
        </w:tc>
        <w:tc>
          <w:tcPr>
            <w:tcMar>
              <w:top w:type="dxa" w:w="80"/>
              <w:left w:type="dxa" w:w="120"/>
              <w:bottom w:type="dxa" w:w="80"/>
              <w:right w:type="dxa" w:w="120"/>
            </w:tcMar>
          </w:tcPr>
          <w:p>
            <w:pPr>
              <w:spacing w:after="40"/>
              <w:jc w:val="center"/>
            </w:pPr>
            <w:r>
              <w:rPr>
                <w:b w:val="false"/>
                <w:bCs w:val="false"/>
                <w:color w:val="1B1B1F"/>
                <w:sz w:val="20"/>
                <w:szCs w:val="20"/>
              </w:rPr>
              <w:t xml:space="preserve">30-45 working days</w:t>
            </w:r>
          </w:p>
        </w:tc>
        <w:tc>
          <w:tcPr>
            <w:tcMar>
              <w:top w:type="dxa" w:w="80"/>
              <w:left w:type="dxa" w:w="120"/>
              <w:bottom w:type="dxa" w:w="80"/>
              <w:right w:type="dxa" w:w="120"/>
            </w:tcMar>
          </w:tcPr>
          <w:p>
            <w:pPr>
              <w:spacing w:after="40"/>
              <w:jc w:val="left"/>
            </w:pPr>
            <w:r>
              <w:rPr>
                <w:b w:val="false"/>
                <w:bCs w:val="false"/>
                <w:color w:val="1B1B1F"/>
                <w:sz w:val="20"/>
                <w:szCs w:val="20"/>
              </w:rPr>
              <w:t xml:space="preserve">Annual; on trigger</w:t>
            </w:r>
          </w:p>
        </w:tc>
      </w:tr>
      <w:tr>
        <w:tc>
          <w:tcPr>
            <w:shd w:fill="F3F6FC" w:color="auto" w:val="clear"/>
            <w:tcMar>
              <w:top w:type="dxa" w:w="80"/>
              <w:left w:type="dxa" w:w="120"/>
              <w:bottom w:type="dxa" w:w="80"/>
              <w:right w:type="dxa" w:w="120"/>
            </w:tcMar>
          </w:tcPr>
          <w:p>
            <w:pPr>
              <w:spacing w:after="40"/>
              <w:jc w:val="center"/>
            </w:pPr>
            <w:r>
              <w:rPr>
                <w:b/>
                <w:bCs/>
                <w:color w:val="1B1B1F"/>
                <w:sz w:val="20"/>
                <w:szCs w:val="20"/>
              </w:rPr>
              <w:t xml:space="preserve">T2 Limited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5 working days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10-20 working days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Annual</w:t>
            </w:r>
          </w:p>
        </w:tc>
      </w:tr>
      <w:tr>
        <w:tc>
          <w:tcPr>
            <w:tcMar>
              <w:top w:type="dxa" w:w="80"/>
              <w:left w:type="dxa" w:w="120"/>
              <w:bottom w:type="dxa" w:w="80"/>
              <w:right w:type="dxa" w:w="120"/>
            </w:tcMar>
          </w:tcPr>
          <w:p>
            <w:pPr>
              <w:spacing w:after="40"/>
              <w:jc w:val="center"/>
            </w:pPr>
            <w:r>
              <w:rPr>
                <w:b/>
                <w:bCs/>
                <w:color w:val="1B1B1F"/>
                <w:sz w:val="20"/>
                <w:szCs w:val="20"/>
              </w:rPr>
              <w:t xml:space="preserve">T3 Minimal</w:t>
            </w:r>
          </w:p>
        </w:tc>
        <w:tc>
          <w:tcPr>
            <w:tcMar>
              <w:top w:type="dxa" w:w="80"/>
              <w:left w:type="dxa" w:w="120"/>
              <w:bottom w:type="dxa" w:w="80"/>
              <w:right w:type="dxa" w:w="120"/>
            </w:tcMar>
          </w:tcPr>
          <w:p>
            <w:pPr>
              <w:spacing w:after="40"/>
              <w:jc w:val="center"/>
            </w:pPr>
            <w:r>
              <w:rPr>
                <w:b w:val="false"/>
                <w:bCs w:val="false"/>
                <w:color w:val="1B1B1F"/>
                <w:sz w:val="20"/>
                <w:szCs w:val="20"/>
              </w:rPr>
              <w:t xml:space="preserve">3 working days</w:t>
            </w:r>
          </w:p>
        </w:tc>
        <w:tc>
          <w:tcPr>
            <w:tcMar>
              <w:top w:type="dxa" w:w="80"/>
              <w:left w:type="dxa" w:w="120"/>
              <w:bottom w:type="dxa" w:w="80"/>
              <w:right w:type="dxa" w:w="120"/>
            </w:tcMar>
          </w:tcPr>
          <w:p>
            <w:pPr>
              <w:spacing w:after="40"/>
              <w:jc w:val="center"/>
            </w:pPr>
            <w:r>
              <w:rPr>
                <w:b w:val="false"/>
                <w:bCs w:val="false"/>
                <w:color w:val="1B1B1F"/>
                <w:sz w:val="20"/>
                <w:szCs w:val="20"/>
              </w:rPr>
              <w:t xml:space="preserve">5 working days (Chair approval)</w:t>
            </w:r>
          </w:p>
        </w:tc>
        <w:tc>
          <w:tcPr>
            <w:tcMar>
              <w:top w:type="dxa" w:w="80"/>
              <w:left w:type="dxa" w:w="120"/>
              <w:bottom w:type="dxa" w:w="80"/>
              <w:right w:type="dxa" w:w="120"/>
            </w:tcMar>
          </w:tcPr>
          <w:p>
            <w:pPr>
              <w:spacing w:after="40"/>
              <w:jc w:val="left"/>
            </w:pPr>
            <w:r>
              <w:rPr>
                <w:b w:val="false"/>
                <w:bCs w:val="false"/>
                <w:color w:val="1B1B1F"/>
                <w:sz w:val="20"/>
                <w:szCs w:val="20"/>
              </w:rPr>
              <w:t xml:space="preserve">Biennial</w:t>
            </w:r>
          </w:p>
        </w:tc>
      </w:tr>
    </w:tbl>
    <w:p>
      <w:pPr>
        <w:pStyle w:val="Heading1"/>
        <w:spacing w:after="160" w:before="360"/>
      </w:pPr>
      <w:r>
        <w:rPr>
          <w:b/>
          <w:bCs/>
          <w:color w:val="1F3864"/>
          <w:sz w:val="30"/>
          <w:szCs w:val="30"/>
        </w:rPr>
        <w:t xml:space="preserve">7. Model and Tool Approval</w:t>
      </w:r>
    </w:p>
    <w:p>
      <w:pPr>
        <w:spacing w:after="120" w:line="300"/>
      </w:pPr>
      <w:r>
        <w:t xml:space="preserve">Foundation models and AI tools are approved separately from use cases. Once approved for use in the tenant, they can be used by any approved use case consistent with their tier.</w:t>
      </w:r>
    </w:p>
    <w:p>
      <w:pPr>
        <w:pStyle w:val="Heading2"/>
        <w:spacing w:after="120" w:before="240"/>
      </w:pPr>
      <w:r>
        <w:rPr>
          <w:b/>
          <w:bCs/>
          <w:color w:val="0F1F44"/>
          <w:sz w:val="24"/>
          <w:szCs w:val="24"/>
        </w:rPr>
        <w:t xml:space="preserve">7.1 Approved models (as at v1.0)</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Model</w:t>
            </w:r>
          </w:p>
        </w:tc>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Delivered via</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Approved tiers</w:t>
            </w:r>
          </w:p>
        </w:tc>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Notes</w:t>
            </w:r>
          </w:p>
        </w:tc>
      </w:tr>
      <w:tr>
        <w:tc>
          <w:tcPr>
            <w:tcMar>
              <w:top w:type="dxa" w:w="80"/>
              <w:left w:type="dxa" w:w="120"/>
              <w:bottom w:type="dxa" w:w="80"/>
              <w:right w:type="dxa" w:w="120"/>
            </w:tcMar>
          </w:tcPr>
          <w:p>
            <w:pPr>
              <w:spacing w:after="40"/>
              <w:jc w:val="left"/>
            </w:pPr>
            <w:r>
              <w:rPr>
                <w:b/>
                <w:bCs/>
                <w:color w:val="1B1B1F"/>
                <w:sz w:val="20"/>
                <w:szCs w:val="20"/>
              </w:rPr>
              <w:t xml:space="preserve">Azure OpenAI GPT-4o / GPT-4.1</w:t>
            </w:r>
          </w:p>
        </w:tc>
        <w:tc>
          <w:tcPr>
            <w:tcMar>
              <w:top w:type="dxa" w:w="80"/>
              <w:left w:type="dxa" w:w="120"/>
              <w:bottom w:type="dxa" w:w="80"/>
              <w:right w:type="dxa" w:w="120"/>
            </w:tcMar>
          </w:tcPr>
          <w:p>
            <w:pPr>
              <w:spacing w:after="40"/>
              <w:jc w:val="left"/>
            </w:pPr>
            <w:r>
              <w:rPr>
                <w:b w:val="false"/>
                <w:bCs w:val="false"/>
                <w:color w:val="1B1B1F"/>
                <w:sz w:val="20"/>
                <w:szCs w:val="20"/>
              </w:rPr>
              <w:t xml:space="preserve">Azure OpenAI (Foundry)</w:t>
            </w:r>
          </w:p>
        </w:tc>
        <w:tc>
          <w:tcPr>
            <w:tcMar>
              <w:top w:type="dxa" w:w="80"/>
              <w:left w:type="dxa" w:w="120"/>
              <w:bottom w:type="dxa" w:w="80"/>
              <w:right w:type="dxa" w:w="120"/>
            </w:tcMar>
          </w:tcPr>
          <w:p>
            <w:pPr>
              <w:spacing w:after="40"/>
              <w:jc w:val="center"/>
            </w:pPr>
            <w:r>
              <w:rPr>
                <w:b w:val="false"/>
                <w:bCs w:val="false"/>
                <w:color w:val="1B1B1F"/>
                <w:sz w:val="20"/>
                <w:szCs w:val="20"/>
              </w:rPr>
              <w:t xml:space="preserve">T1-T3</w:t>
            </w:r>
          </w:p>
        </w:tc>
        <w:tc>
          <w:tcPr>
            <w:tcMar>
              <w:top w:type="dxa" w:w="80"/>
              <w:left w:type="dxa" w:w="120"/>
              <w:bottom w:type="dxa" w:w="80"/>
              <w:right w:type="dxa" w:w="120"/>
            </w:tcMar>
          </w:tcPr>
          <w:p>
            <w:pPr>
              <w:spacing w:after="40"/>
              <w:jc w:val="left"/>
            </w:pPr>
            <w:r>
              <w:rPr>
                <w:b w:val="false"/>
                <w:bCs w:val="false"/>
                <w:color w:val="1B1B1F"/>
                <w:sz w:val="20"/>
                <w:szCs w:val="20"/>
              </w:rPr>
              <w:t xml:space="preserve">EU residency; customer data not retained by OpenAI.</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Sonnet 4.6</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Microsoft Foundry (serverless)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T2-T3</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MACC-billed. T1 subject to additional validation in pilot.</w:t>
            </w:r>
          </w:p>
        </w:tc>
      </w:tr>
      <w:tr>
        <w:tc>
          <w:tcPr>
            <w:tcMar>
              <w:top w:type="dxa" w:w="80"/>
              <w:left w:type="dxa" w:w="120"/>
              <w:bottom w:type="dxa" w:w="80"/>
              <w:right w:type="dxa" w:w="120"/>
            </w:tcMar>
          </w:tcPr>
          <w:p>
            <w:pPr>
              <w:spacing w:after="40"/>
              <w:jc w:val="left"/>
            </w:pPr>
            <w:r>
              <w:rPr>
                <w:b/>
                <w:bCs/>
                <w:color w:val="1B1B1F"/>
                <w:sz w:val="20"/>
                <w:szCs w:val="20"/>
              </w:rPr>
              <w:t xml:space="preserve">Claude Opus 4.7</w:t>
            </w:r>
          </w:p>
        </w:tc>
        <w:tc>
          <w:tcPr>
            <w:tcMar>
              <w:top w:type="dxa" w:w="80"/>
              <w:left w:type="dxa" w:w="120"/>
              <w:bottom w:type="dxa" w:w="80"/>
              <w:right w:type="dxa" w:w="120"/>
            </w:tcMar>
          </w:tcPr>
          <w:p>
            <w:pPr>
              <w:spacing w:after="40"/>
              <w:jc w:val="left"/>
            </w:pPr>
            <w:r>
              <w:rPr>
                <w:b w:val="false"/>
                <w:bCs w:val="false"/>
                <w:color w:val="1B1B1F"/>
                <w:sz w:val="20"/>
                <w:szCs w:val="20"/>
              </w:rPr>
              <w:t xml:space="preserve">Microsoft Foundry (serverless)</w:t>
            </w:r>
          </w:p>
        </w:tc>
        <w:tc>
          <w:tcPr>
            <w:tcMar>
              <w:top w:type="dxa" w:w="80"/>
              <w:left w:type="dxa" w:w="120"/>
              <w:bottom w:type="dxa" w:w="80"/>
              <w:right w:type="dxa" w:w="120"/>
            </w:tcMar>
          </w:tcPr>
          <w:p>
            <w:pPr>
              <w:spacing w:after="40"/>
              <w:jc w:val="center"/>
            </w:pPr>
            <w:r>
              <w:rPr>
                <w:b w:val="false"/>
                <w:bCs w:val="false"/>
                <w:color w:val="1B1B1F"/>
                <w:sz w:val="20"/>
                <w:szCs w:val="20"/>
              </w:rPr>
              <w:t xml:space="preserve">T2-T3</w:t>
            </w:r>
          </w:p>
        </w:tc>
        <w:tc>
          <w:tcPr>
            <w:tcMar>
              <w:top w:type="dxa" w:w="80"/>
              <w:left w:type="dxa" w:w="120"/>
              <w:bottom w:type="dxa" w:w="80"/>
              <w:right w:type="dxa" w:w="120"/>
            </w:tcMar>
          </w:tcPr>
          <w:p>
            <w:pPr>
              <w:spacing w:after="40"/>
              <w:jc w:val="left"/>
            </w:pPr>
            <w:r>
              <w:rPr>
                <w:b w:val="false"/>
                <w:bCs w:val="false"/>
                <w:color w:val="1B1B1F"/>
                <w:sz w:val="20"/>
                <w:szCs w:val="20"/>
              </w:rPr>
              <w:t xml:space="preserve">Use for hard reasoning / long-horizon tasks; budget limits apply.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Haiku 4.5</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Microsoft Foundry (serverless)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T3</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High-volume, latency-sensitive tasks.</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w:t>
            </w:r>
          </w:p>
        </w:tc>
        <w:tc>
          <w:tcPr>
            <w:tcMar>
              <w:top w:type="dxa" w:w="80"/>
              <w:left w:type="dxa" w:w="120"/>
              <w:bottom w:type="dxa" w:w="80"/>
              <w:right w:type="dxa" w:w="120"/>
            </w:tcMar>
          </w:tcPr>
          <w:p>
            <w:pPr>
              <w:spacing w:after="40"/>
              <w:jc w:val="left"/>
            </w:pPr>
            <w:r>
              <w:rPr>
                <w:b w:val="false"/>
                <w:bCs w:val="false"/>
                <w:color w:val="1B1B1F"/>
                <w:sz w:val="20"/>
                <w:szCs w:val="20"/>
              </w:rPr>
              <w:t xml:space="preserve">GitHub Enterprise Cloud</w:t>
            </w:r>
          </w:p>
        </w:tc>
        <w:tc>
          <w:tcPr>
            <w:tcMar>
              <w:top w:type="dxa" w:w="80"/>
              <w:left w:type="dxa" w:w="120"/>
              <w:bottom w:type="dxa" w:w="80"/>
              <w:right w:type="dxa" w:w="120"/>
            </w:tcMar>
          </w:tcPr>
          <w:p>
            <w:pPr>
              <w:spacing w:after="40"/>
              <w:jc w:val="center"/>
            </w:pPr>
            <w:r>
              <w:rPr>
                <w:b w:val="false"/>
                <w:bCs w:val="false"/>
                <w:color w:val="1B1B1F"/>
                <w:sz w:val="20"/>
                <w:szCs w:val="20"/>
              </w:rPr>
              <w:t xml:space="preserve">T2-T3</w:t>
            </w:r>
          </w:p>
        </w:tc>
        <w:tc>
          <w:tcPr>
            <w:tcMar>
              <w:top w:type="dxa" w:w="80"/>
              <w:left w:type="dxa" w:w="120"/>
              <w:bottom w:type="dxa" w:w="80"/>
              <w:right w:type="dxa" w:w="120"/>
            </w:tcMar>
          </w:tcPr>
          <w:p>
            <w:pPr>
              <w:spacing w:after="40"/>
              <w:jc w:val="left"/>
            </w:pPr>
            <w:r>
              <w:rPr>
                <w:b w:val="false"/>
                <w:bCs w:val="false"/>
                <w:color w:val="1B1B1F"/>
                <w:sz w:val="20"/>
                <w:szCs w:val="20"/>
              </w:rPr>
              <w:t xml:space="preserve">Developer use; content exclusions on Restricted repos.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M365 Copilot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Microsoft 365 tenant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T3</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Live enterprise-wide. Tenant-bounded grounding via Graph. Sensitivity labels enforced.</w:t>
            </w:r>
          </w:p>
        </w:tc>
      </w:tr>
      <w:tr>
        <w:tc>
          <w:tcPr>
            <w:tcMar>
              <w:top w:type="dxa" w:w="80"/>
              <w:left w:type="dxa" w:w="120"/>
              <w:bottom w:type="dxa" w:w="80"/>
              <w:right w:type="dxa" w:w="120"/>
            </w:tcMar>
          </w:tcPr>
          <w:p>
            <w:pPr>
              <w:spacing w:after="40"/>
              <w:jc w:val="left"/>
            </w:pPr>
            <w:r>
              <w:rPr>
                <w:b/>
                <w:bCs/>
                <w:color w:val="1B1B1F"/>
                <w:sz w:val="20"/>
                <w:szCs w:val="20"/>
              </w:rPr>
              <w:t xml:space="preserve">Microsoft Copilot Studio</w:t>
            </w:r>
          </w:p>
        </w:tc>
        <w:tc>
          <w:tcPr>
            <w:tcMar>
              <w:top w:type="dxa" w:w="80"/>
              <w:left w:type="dxa" w:w="120"/>
              <w:bottom w:type="dxa" w:w="80"/>
              <w:right w:type="dxa" w:w="120"/>
            </w:tcMar>
          </w:tcPr>
          <w:p>
            <w:pPr>
              <w:spacing w:after="40"/>
              <w:jc w:val="left"/>
            </w:pPr>
            <w:r>
              <w:rPr>
                <w:b w:val="false"/>
                <w:bCs w:val="false"/>
                <w:color w:val="1B1B1F"/>
                <w:sz w:val="20"/>
                <w:szCs w:val="20"/>
              </w:rPr>
              <w:t xml:space="preserve">Power Platform / Foundry</w:t>
            </w:r>
          </w:p>
        </w:tc>
        <w:tc>
          <w:tcPr>
            <w:tcMar>
              <w:top w:type="dxa" w:w="80"/>
              <w:left w:type="dxa" w:w="120"/>
              <w:bottom w:type="dxa" w:w="80"/>
              <w:right w:type="dxa" w:w="120"/>
            </w:tcMar>
          </w:tcPr>
          <w:p>
            <w:pPr>
              <w:spacing w:after="40"/>
              <w:jc w:val="center"/>
            </w:pPr>
            <w:r>
              <w:rPr>
                <w:b w:val="false"/>
                <w:bCs w:val="false"/>
                <w:color w:val="1B1B1F"/>
                <w:sz w:val="20"/>
                <w:szCs w:val="20"/>
              </w:rPr>
              <w:t xml:space="preserve">T2-T3 (per agent)</w:t>
            </w:r>
          </w:p>
        </w:tc>
        <w:tc>
          <w:tcPr>
            <w:tcMar>
              <w:top w:type="dxa" w:w="80"/>
              <w:left w:type="dxa" w:w="120"/>
              <w:bottom w:type="dxa" w:w="80"/>
              <w:right w:type="dxa" w:w="120"/>
            </w:tcMar>
          </w:tcPr>
          <w:p>
            <w:pPr>
              <w:spacing w:after="40"/>
              <w:jc w:val="left"/>
            </w:pPr>
            <w:r>
              <w:rPr>
                <w:b w:val="false"/>
                <w:bCs w:val="false"/>
                <w:color w:val="1B1B1F"/>
                <w:sz w:val="20"/>
                <w:szCs w:val="20"/>
              </w:rPr>
              <w:t xml:space="preserve">Each custom agent registered separately; central environment strategy.</w:t>
            </w:r>
          </w:p>
        </w:tc>
      </w:tr>
    </w:tbl>
    <w:p>
      <w:pPr>
        <w:pStyle w:val="Heading2"/>
        <w:spacing w:after="120" w:before="240"/>
      </w:pPr>
      <w:r>
        <w:rPr>
          <w:b/>
          <w:bCs/>
          <w:color w:val="0F1F44"/>
          <w:sz w:val="24"/>
          <w:szCs w:val="24"/>
        </w:rPr>
        <w:t xml:space="preserve">7.2 Adding a new model or tool</w:t>
      </w:r>
    </w:p>
    <w:p>
      <w:pPr>
        <w:pStyle w:val="ListParagraph"/>
        <w:numPr>
          <w:ilvl w:val="0"/>
          <w:numId w:val="2"/>
        </w:numPr>
        <w:spacing w:after="80" w:line="280"/>
      </w:pPr>
      <w:r>
        <w:t xml:space="preserve">Sponsor submits a model/tool onboarding request to AI &amp; Automation including: vendor, contract terms, data flows, residency, training-data posture.</w:t>
      </w:r>
    </w:p>
    <w:p>
      <w:pPr>
        <w:pStyle w:val="ListParagraph"/>
        <w:numPr>
          <w:ilvl w:val="0"/>
          <w:numId w:val="2"/>
        </w:numPr>
        <w:spacing w:after="80" w:line="280"/>
      </w:pPr>
      <w:r>
        <w:t xml:space="preserve">Security, Privacy, Risk, Legal and Procurement review in parallel; AI Council approves or rejects.</w:t>
      </w:r>
    </w:p>
    <w:p>
      <w:pPr>
        <w:pStyle w:val="ListParagraph"/>
        <w:numPr>
          <w:ilvl w:val="0"/>
          <w:numId w:val="2"/>
        </w:numPr>
        <w:spacing w:after="80" w:line="280"/>
      </w:pPr>
      <w:r>
        <w:t xml:space="preserve">Onboarded tools are recorded in the AI tooling register with scope, permitted tiers, and cost controls.</w:t>
      </w:r>
    </w:p>
    <w:p>
      <w:pPr>
        <w:pStyle w:val="ListParagraph"/>
        <w:numPr>
          <w:ilvl w:val="0"/>
          <w:numId w:val="2"/>
        </w:numPr>
        <w:spacing w:after="80" w:line="280"/>
      </w:pPr>
      <w:r>
        <w:t xml:space="preserve">Unapproved generative AI services may not be used with company data or customer data, including free consumer versions.</w:t>
      </w:r>
    </w:p>
    <w:p>
      <w:pPr>
        <w:pStyle w:val="Heading1"/>
        <w:spacing w:after="160" w:before="360"/>
      </w:pPr>
      <w:r>
        <w:rPr>
          <w:b/>
          <w:bCs/>
          <w:color w:val="1F3864"/>
          <w:sz w:val="30"/>
          <w:szCs w:val="30"/>
        </w:rPr>
        <w:t xml:space="preserve">8. Model Risk Management</w:t>
      </w:r>
    </w:p>
    <w:p>
      <w:pPr>
        <w:spacing w:after="120" w:line="300"/>
      </w:pPr>
      <w:r>
        <w:t xml:space="preserve">Model risk management (MRM) for AI systems extends the organisation's existing MRM standard (aligned to SR 11-7 and equivalent guidance). The intensity is calibrated to risk tier.</w:t>
      </w:r>
    </w:p>
    <w:p>
      <w:pPr>
        <w:pStyle w:val="Heading2"/>
        <w:spacing w:after="120" w:before="240"/>
      </w:pPr>
      <w:r>
        <w:rPr>
          <w:b/>
          <w:bCs/>
          <w:color w:val="0F1F44"/>
          <w:sz w:val="24"/>
          <w:szCs w:val="24"/>
        </w:rPr>
        <w:t xml:space="preserve">8.1 Validation requirements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Activity</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T1</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T2</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T3</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Evidence</w:t>
            </w:r>
          </w:p>
        </w:tc>
      </w:tr>
      <w:tr>
        <w:tc>
          <w:tcPr>
            <w:tcMar>
              <w:top w:type="dxa" w:w="80"/>
              <w:left w:type="dxa" w:w="120"/>
              <w:bottom w:type="dxa" w:w="80"/>
              <w:right w:type="dxa" w:w="120"/>
            </w:tcMar>
          </w:tcPr>
          <w:p>
            <w:pPr>
              <w:spacing w:after="40"/>
              <w:jc w:val="left"/>
            </w:pPr>
            <w:r>
              <w:rPr>
                <w:b/>
                <w:bCs/>
                <w:color w:val="1B1B1F"/>
                <w:sz w:val="20"/>
                <w:szCs w:val="20"/>
              </w:rPr>
              <w:t xml:space="preserve">Independent validation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Required</w:t>
            </w:r>
          </w:p>
        </w:tc>
        <w:tc>
          <w:tcPr>
            <w:tcMar>
              <w:top w:type="dxa" w:w="80"/>
              <w:left w:type="dxa" w:w="120"/>
              <w:bottom w:type="dxa" w:w="80"/>
              <w:right w:type="dxa" w:w="120"/>
            </w:tcMar>
          </w:tcPr>
          <w:p>
            <w:pPr>
              <w:spacing w:after="40"/>
              <w:jc w:val="center"/>
            </w:pPr>
            <w:r>
              <w:rPr>
                <w:b w:val="false"/>
                <w:bCs w:val="false"/>
                <w:color w:val="1B1B1F"/>
                <w:sz w:val="20"/>
                <w:szCs w:val="20"/>
              </w:rPr>
              <w:t xml:space="preserve">Sampled</w:t>
            </w:r>
          </w:p>
        </w:tc>
        <w:tc>
          <w:tcPr>
            <w:tcMar>
              <w:top w:type="dxa" w:w="80"/>
              <w:left w:type="dxa" w:w="120"/>
              <w:bottom w:type="dxa" w:w="80"/>
              <w:right w:type="dxa" w:w="120"/>
            </w:tcMar>
          </w:tcPr>
          <w:p>
            <w:pPr>
              <w:spacing w:after="40"/>
              <w:jc w:val="center"/>
            </w:pPr>
            <w:r>
              <w:rPr>
                <w:b w:val="false"/>
                <w:bCs w:val="false"/>
                <w:color w:val="1B1B1F"/>
                <w:sz w:val="20"/>
                <w:szCs w:val="20"/>
              </w:rPr>
              <w:t xml:space="preserve">Not required</w:t>
            </w:r>
          </w:p>
        </w:tc>
        <w:tc>
          <w:tcPr>
            <w:tcMar>
              <w:top w:type="dxa" w:w="80"/>
              <w:left w:type="dxa" w:w="120"/>
              <w:bottom w:type="dxa" w:w="80"/>
              <w:right w:type="dxa" w:w="120"/>
            </w:tcMar>
          </w:tcPr>
          <w:p>
            <w:pPr>
              <w:spacing w:after="40"/>
              <w:jc w:val="left"/>
            </w:pPr>
            <w:r>
              <w:rPr>
                <w:b w:val="false"/>
                <w:bCs w:val="false"/>
                <w:color w:val="1B1B1F"/>
                <w:sz w:val="20"/>
                <w:szCs w:val="20"/>
              </w:rPr>
              <w:t xml:space="preserve">Validation report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Fairness testing</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Required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Required where applicable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N/A or light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Fairness memo</w:t>
            </w:r>
          </w:p>
        </w:tc>
      </w:tr>
      <w:tr>
        <w:tc>
          <w:tcPr>
            <w:tcMar>
              <w:top w:type="dxa" w:w="80"/>
              <w:left w:type="dxa" w:w="120"/>
              <w:bottom w:type="dxa" w:w="80"/>
              <w:right w:type="dxa" w:w="120"/>
            </w:tcMar>
          </w:tcPr>
          <w:p>
            <w:pPr>
              <w:spacing w:after="40"/>
              <w:jc w:val="left"/>
            </w:pPr>
            <w:r>
              <w:rPr>
                <w:b/>
                <w:bCs/>
                <w:color w:val="1B1B1F"/>
                <w:sz w:val="20"/>
                <w:szCs w:val="20"/>
              </w:rPr>
              <w:t xml:space="preserve">Robustness / adversarial testing</w:t>
            </w:r>
          </w:p>
        </w:tc>
        <w:tc>
          <w:tcPr>
            <w:tcMar>
              <w:top w:type="dxa" w:w="80"/>
              <w:left w:type="dxa" w:w="120"/>
              <w:bottom w:type="dxa" w:w="80"/>
              <w:right w:type="dxa" w:w="120"/>
            </w:tcMar>
          </w:tcPr>
          <w:p>
            <w:pPr>
              <w:spacing w:after="40"/>
              <w:jc w:val="center"/>
            </w:pPr>
            <w:r>
              <w:rPr>
                <w:b w:val="false"/>
                <w:bCs w:val="false"/>
                <w:color w:val="1B1B1F"/>
                <w:sz w:val="20"/>
                <w:szCs w:val="20"/>
              </w:rPr>
              <w:t xml:space="preserve">Required</w:t>
            </w:r>
          </w:p>
        </w:tc>
        <w:tc>
          <w:tcPr>
            <w:tcMar>
              <w:top w:type="dxa" w:w="80"/>
              <w:left w:type="dxa" w:w="120"/>
              <w:bottom w:type="dxa" w:w="80"/>
              <w:right w:type="dxa" w:w="120"/>
            </w:tcMar>
          </w:tcPr>
          <w:p>
            <w:pPr>
              <w:spacing w:after="40"/>
              <w:jc w:val="center"/>
            </w:pPr>
            <w:r>
              <w:rPr>
                <w:b w:val="false"/>
                <w:bCs w:val="false"/>
                <w:color w:val="1B1B1F"/>
                <w:sz w:val="20"/>
                <w:szCs w:val="20"/>
              </w:rPr>
              <w:t xml:space="preserve">Sampled</w:t>
            </w:r>
          </w:p>
        </w:tc>
        <w:tc>
          <w:tcPr>
            <w:tcMar>
              <w:top w:type="dxa" w:w="80"/>
              <w:left w:type="dxa" w:w="120"/>
              <w:bottom w:type="dxa" w:w="80"/>
              <w:right w:type="dxa" w:w="120"/>
            </w:tcMar>
          </w:tcPr>
          <w:p>
            <w:pPr>
              <w:spacing w:after="40"/>
              <w:jc w:val="center"/>
            </w:pPr>
            <w:r>
              <w:rPr>
                <w:b w:val="false"/>
                <w:bCs w:val="false"/>
                <w:color w:val="1B1B1F"/>
                <w:sz w:val="20"/>
                <w:szCs w:val="20"/>
              </w:rPr>
              <w:t xml:space="preserve">Not required</w:t>
            </w:r>
          </w:p>
        </w:tc>
        <w:tc>
          <w:tcPr>
            <w:tcMar>
              <w:top w:type="dxa" w:w="80"/>
              <w:left w:type="dxa" w:w="120"/>
              <w:bottom w:type="dxa" w:w="80"/>
              <w:right w:type="dxa" w:w="120"/>
            </w:tcMar>
          </w:tcPr>
          <w:p>
            <w:pPr>
              <w:spacing w:after="40"/>
              <w:jc w:val="left"/>
            </w:pPr>
            <w:r>
              <w:rPr>
                <w:b w:val="false"/>
                <w:bCs w:val="false"/>
                <w:color w:val="1B1B1F"/>
                <w:sz w:val="20"/>
                <w:szCs w:val="20"/>
              </w:rPr>
              <w:t xml:space="preserve">Test logs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Explainability artefacts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Required (customer-readable)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Required (internal)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Brief description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Model card</w:t>
            </w:r>
          </w:p>
        </w:tc>
      </w:tr>
      <w:tr>
        <w:tc>
          <w:tcPr>
            <w:tcMar>
              <w:top w:type="dxa" w:w="80"/>
              <w:left w:type="dxa" w:w="120"/>
              <w:bottom w:type="dxa" w:w="80"/>
              <w:right w:type="dxa" w:w="120"/>
            </w:tcMar>
          </w:tcPr>
          <w:p>
            <w:pPr>
              <w:spacing w:after="40"/>
              <w:jc w:val="left"/>
            </w:pPr>
            <w:r>
              <w:rPr>
                <w:b/>
                <w:bCs/>
                <w:color w:val="1B1B1F"/>
                <w:sz w:val="20"/>
                <w:szCs w:val="20"/>
              </w:rPr>
              <w:t xml:space="preserve">Monitoring (drift, performance, fairness)</w:t>
            </w:r>
          </w:p>
        </w:tc>
        <w:tc>
          <w:tcPr>
            <w:tcMar>
              <w:top w:type="dxa" w:w="80"/>
              <w:left w:type="dxa" w:w="120"/>
              <w:bottom w:type="dxa" w:w="80"/>
              <w:right w:type="dxa" w:w="120"/>
            </w:tcMar>
          </w:tcPr>
          <w:p>
            <w:pPr>
              <w:spacing w:after="40"/>
              <w:jc w:val="center"/>
            </w:pPr>
            <w:r>
              <w:rPr>
                <w:b w:val="false"/>
                <w:bCs w:val="false"/>
                <w:color w:val="1B1B1F"/>
                <w:sz w:val="20"/>
                <w:szCs w:val="20"/>
              </w:rPr>
              <w:t xml:space="preserve">Continuous</w:t>
            </w:r>
          </w:p>
        </w:tc>
        <w:tc>
          <w:tcPr>
            <w:tcMar>
              <w:top w:type="dxa" w:w="80"/>
              <w:left w:type="dxa" w:w="120"/>
              <w:bottom w:type="dxa" w:w="80"/>
              <w:right w:type="dxa" w:w="120"/>
            </w:tcMar>
          </w:tcPr>
          <w:p>
            <w:pPr>
              <w:spacing w:after="40"/>
              <w:jc w:val="center"/>
            </w:pPr>
            <w:r>
              <w:rPr>
                <w:b w:val="false"/>
                <w:bCs w:val="false"/>
                <w:color w:val="1B1B1F"/>
                <w:sz w:val="20"/>
                <w:szCs w:val="20"/>
              </w:rPr>
              <w:t xml:space="preserve">Monthly</w:t>
            </w:r>
          </w:p>
        </w:tc>
        <w:tc>
          <w:tcPr>
            <w:tcMar>
              <w:top w:type="dxa" w:w="80"/>
              <w:left w:type="dxa" w:w="120"/>
              <w:bottom w:type="dxa" w:w="80"/>
              <w:right w:type="dxa" w:w="120"/>
            </w:tcMar>
          </w:tcPr>
          <w:p>
            <w:pPr>
              <w:spacing w:after="40"/>
              <w:jc w:val="center"/>
            </w:pPr>
            <w:r>
              <w:rPr>
                <w:b w:val="false"/>
                <w:bCs w:val="false"/>
                <w:color w:val="1B1B1F"/>
                <w:sz w:val="20"/>
                <w:szCs w:val="20"/>
              </w:rPr>
              <w:t xml:space="preserve">Quarterly</w:t>
            </w:r>
          </w:p>
        </w:tc>
        <w:tc>
          <w:tcPr>
            <w:tcMar>
              <w:top w:type="dxa" w:w="80"/>
              <w:left w:type="dxa" w:w="120"/>
              <w:bottom w:type="dxa" w:w="80"/>
              <w:right w:type="dxa" w:w="120"/>
            </w:tcMar>
          </w:tcPr>
          <w:p>
            <w:pPr>
              <w:spacing w:after="40"/>
              <w:jc w:val="left"/>
            </w:pPr>
            <w:r>
              <w:rPr>
                <w:b w:val="false"/>
                <w:bCs w:val="false"/>
                <w:color w:val="1B1B1F"/>
                <w:sz w:val="20"/>
                <w:szCs w:val="20"/>
              </w:rPr>
              <w:t xml:space="preserve">Dashboard + alerts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Human-in-the-loop</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Required for consequential decisions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Advisory</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User discretion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Workflow design</w:t>
            </w:r>
          </w:p>
        </w:tc>
      </w:tr>
    </w:tbl>
    <w:p>
      <w:pPr>
        <w:pStyle w:val="Heading2"/>
        <w:spacing w:after="120" w:before="240"/>
      </w:pPr>
      <w:r>
        <w:rPr>
          <w:b/>
          <w:bCs/>
          <w:color w:val="0F1F44"/>
          <w:sz w:val="24"/>
          <w:szCs w:val="24"/>
        </w:rPr>
        <w:t xml:space="preserve">8.2 Monitoring triggers for re-review</w:t>
      </w:r>
    </w:p>
    <w:p>
      <w:pPr>
        <w:pStyle w:val="ListParagraph"/>
        <w:numPr>
          <w:ilvl w:val="0"/>
          <w:numId w:val="2"/>
        </w:numPr>
        <w:spacing w:after="80" w:line="280"/>
      </w:pPr>
      <w:r>
        <w:t xml:space="preserve">Sustained drift beyond defined thresholds on performance, fairness or drift metrics.</w:t>
      </w:r>
    </w:p>
    <w:p>
      <w:pPr>
        <w:pStyle w:val="ListParagraph"/>
        <w:numPr>
          <w:ilvl w:val="0"/>
          <w:numId w:val="2"/>
        </w:numPr>
        <w:spacing w:after="80" w:line="280"/>
      </w:pPr>
      <w:r>
        <w:t xml:space="preserve">Material model or vendor change (e.g. upgrade to a new foundation model version).</w:t>
      </w:r>
    </w:p>
    <w:p>
      <w:pPr>
        <w:pStyle w:val="ListParagraph"/>
        <w:numPr>
          <w:ilvl w:val="0"/>
          <w:numId w:val="2"/>
        </w:numPr>
        <w:spacing w:after="80" w:line="280"/>
      </w:pPr>
      <w:r>
        <w:t xml:space="preserve">Regulatory change or new guidance.</w:t>
      </w:r>
    </w:p>
    <w:p>
      <w:pPr>
        <w:pStyle w:val="ListParagraph"/>
        <w:numPr>
          <w:ilvl w:val="0"/>
          <w:numId w:val="2"/>
        </w:numPr>
        <w:spacing w:after="80" w:line="280"/>
      </w:pPr>
      <w:r>
        <w:t xml:space="preserve">Incidents attributed to the AI system (see §11).</w:t>
      </w:r>
    </w:p>
    <w:p>
      <w:pPr>
        <w:pStyle w:val="ListParagraph"/>
        <w:numPr>
          <w:ilvl w:val="0"/>
          <w:numId w:val="2"/>
        </w:numPr>
        <w:spacing w:after="80" w:line="280"/>
      </w:pPr>
      <w:r>
        <w:t xml:space="preserve">Scope change (new data, new audience, new decision coverage).</w:t>
      </w:r>
    </w:p>
    <w:p>
      <w:pPr>
        <w:pStyle w:val="Heading1"/>
        <w:spacing w:after="160" w:before="360"/>
      </w:pPr>
      <w:r>
        <w:rPr>
          <w:b/>
          <w:bCs/>
          <w:color w:val="1F3864"/>
          <w:sz w:val="30"/>
          <w:szCs w:val="30"/>
        </w:rPr>
        <w:t xml:space="preserve">9. Data Classification for AI</w:t>
      </w:r>
    </w:p>
    <w:p>
      <w:pPr>
        <w:spacing w:after="120" w:line="300"/>
      </w:pPr>
      <w:r>
        <w:t xml:space="preserve">Existing data classification labels (Public / Internal / Confidential / Restricted) apply to AI use. The table below maps labels to permitted AI contexts.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gridCol w:w="100"/>
      </w:tblGrid>
      <w:tr>
        <w:trPr>
          <w:tblHeader/>
        </w:trPr>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Label</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Examples</w:t>
            </w:r>
          </w:p>
        </w:tc>
        <w:tc>
          <w:tcPr>
            <w:tcW w:type="pct" w:w="13%"/>
            <w:shd w:fill="1F3864" w:color="auto" w:val="clear"/>
            <w:tcMar>
              <w:top w:type="dxa" w:w="80"/>
              <w:left w:type="dxa" w:w="120"/>
              <w:bottom w:type="dxa" w:w="80"/>
              <w:right w:type="dxa" w:w="120"/>
            </w:tcMar>
          </w:tcPr>
          <w:p>
            <w:pPr>
              <w:spacing w:after="40"/>
              <w:jc w:val="center"/>
            </w:pPr>
            <w:r>
              <w:rPr>
                <w:b/>
                <w:bCs/>
                <w:color w:val="FFFFFF"/>
                <w:sz w:val="20"/>
                <w:szCs w:val="20"/>
              </w:rPr>
              <w:t xml:space="preserve">M365 Copilot</w:t>
            </w:r>
          </w:p>
        </w:tc>
        <w:tc>
          <w:tcPr>
            <w:tcW w:type="pct" w:w="15%"/>
            <w:shd w:fill="1F3864" w:color="auto" w:val="clear"/>
            <w:tcMar>
              <w:top w:type="dxa" w:w="80"/>
              <w:left w:type="dxa" w:w="120"/>
              <w:bottom w:type="dxa" w:w="80"/>
              <w:right w:type="dxa" w:w="120"/>
            </w:tcMar>
          </w:tcPr>
          <w:p>
            <w:pPr>
              <w:spacing w:after="40"/>
              <w:jc w:val="center"/>
            </w:pPr>
            <w:r>
              <w:rPr>
                <w:b/>
                <w:bCs/>
                <w:color w:val="FFFFFF"/>
                <w:sz w:val="20"/>
                <w:szCs w:val="20"/>
              </w:rPr>
              <w:t xml:space="preserve">GitHub Copilot / Claude Code</w:t>
            </w:r>
          </w:p>
        </w:tc>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Foundry custom / agents</w:t>
            </w:r>
          </w:p>
        </w:tc>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Consumer AI</w:t>
            </w:r>
          </w:p>
        </w:tc>
      </w:tr>
      <w:tr>
        <w:tc>
          <w:tcPr>
            <w:tcMar>
              <w:top w:type="dxa" w:w="80"/>
              <w:left w:type="dxa" w:w="120"/>
              <w:bottom w:type="dxa" w:w="80"/>
              <w:right w:type="dxa" w:w="120"/>
            </w:tcMar>
          </w:tcPr>
          <w:p>
            <w:pPr>
              <w:spacing w:after="40"/>
              <w:jc w:val="left"/>
            </w:pPr>
            <w:r>
              <w:rPr>
                <w:b/>
                <w:bCs/>
                <w:color w:val="1B1B1F"/>
                <w:sz w:val="20"/>
                <w:szCs w:val="20"/>
              </w:rPr>
              <w:t xml:space="preserve">Public</w:t>
            </w:r>
          </w:p>
        </w:tc>
        <w:tc>
          <w:tcPr>
            <w:tcMar>
              <w:top w:type="dxa" w:w="80"/>
              <w:left w:type="dxa" w:w="120"/>
              <w:bottom w:type="dxa" w:w="80"/>
              <w:right w:type="dxa" w:w="120"/>
            </w:tcMar>
          </w:tcPr>
          <w:p>
            <w:pPr>
              <w:spacing w:after="40"/>
              <w:jc w:val="left"/>
            </w:pPr>
            <w:r>
              <w:rPr>
                <w:b w:val="false"/>
                <w:bCs w:val="false"/>
                <w:color w:val="1B1B1F"/>
                <w:sz w:val="20"/>
                <w:szCs w:val="20"/>
              </w:rPr>
              <w:t xml:space="preserve">Published marketing, regulatory filings</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tcMar>
              <w:top w:type="dxa" w:w="80"/>
              <w:left w:type="dxa" w:w="120"/>
              <w:bottom w:type="dxa" w:w="80"/>
              <w:right w:type="dxa" w:w="120"/>
            </w:tcMar>
          </w:tcPr>
          <w:p>
            <w:pPr>
              <w:spacing w:after="40"/>
              <w:jc w:val="center"/>
            </w:pPr>
            <w:r>
              <w:rPr>
                <w:b w:val="false"/>
                <w:bCs w:val="false"/>
                <w:color w:val="1B1B1F"/>
                <w:sz w:val="20"/>
                <w:szCs w:val="20"/>
              </w:rPr>
              <w:t xml:space="preserve">Yes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Internal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Internal memos, project docs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Yes</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r>
      <w:tr>
        <w:tc>
          <w:tcPr>
            <w:tcMar>
              <w:top w:type="dxa" w:w="80"/>
              <w:left w:type="dxa" w:w="120"/>
              <w:bottom w:type="dxa" w:w="80"/>
              <w:right w:type="dxa" w:w="120"/>
            </w:tcMar>
          </w:tcPr>
          <w:p>
            <w:pPr>
              <w:spacing w:after="40"/>
              <w:jc w:val="left"/>
            </w:pPr>
            <w:r>
              <w:rPr>
                <w:b/>
                <w:bCs/>
                <w:color w:val="1B1B1F"/>
                <w:sz w:val="20"/>
                <w:szCs w:val="20"/>
              </w:rPr>
              <w:t xml:space="preserve">Confidential</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 PII, product roadmap, financials pre-publication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Yes (with sensitivity labels)</w:t>
            </w:r>
          </w:p>
        </w:tc>
        <w:tc>
          <w:tcPr>
            <w:tcMar>
              <w:top w:type="dxa" w:w="80"/>
              <w:left w:type="dxa" w:w="120"/>
              <w:bottom w:type="dxa" w:w="80"/>
              <w:right w:type="dxa" w:w="120"/>
            </w:tcMar>
          </w:tcPr>
          <w:p>
            <w:pPr>
              <w:spacing w:after="40"/>
              <w:jc w:val="center"/>
            </w:pPr>
            <w:r>
              <w:rPr>
                <w:b w:val="false"/>
                <w:bCs w:val="false"/>
                <w:color w:val="1B1B1F"/>
                <w:sz w:val="20"/>
                <w:szCs w:val="20"/>
              </w:rPr>
              <w:t xml:space="preserve">Code only; no customer records</w:t>
            </w:r>
          </w:p>
        </w:tc>
        <w:tc>
          <w:tcPr>
            <w:tcMar>
              <w:top w:type="dxa" w:w="80"/>
              <w:left w:type="dxa" w:w="120"/>
              <w:bottom w:type="dxa" w:w="80"/>
              <w:right w:type="dxa" w:w="120"/>
            </w:tcMar>
          </w:tcPr>
          <w:p>
            <w:pPr>
              <w:spacing w:after="40"/>
              <w:jc w:val="center"/>
            </w:pPr>
            <w:r>
              <w:rPr>
                <w:b w:val="false"/>
                <w:bCs w:val="false"/>
                <w:color w:val="1B1B1F"/>
                <w:sz w:val="20"/>
                <w:szCs w:val="20"/>
              </w:rPr>
              <w:t xml:space="preserve">Yes with controls</w:t>
            </w:r>
          </w:p>
        </w:tc>
        <w:tc>
          <w:tcPr>
            <w:tcMar>
              <w:top w:type="dxa" w:w="80"/>
              <w:left w:type="dxa" w:w="120"/>
              <w:bottom w:type="dxa" w:w="80"/>
              <w:right w:type="dxa" w:w="120"/>
            </w:tcMar>
          </w:tcPr>
          <w:p>
            <w:pPr>
              <w:spacing w:after="40"/>
              <w:jc w:val="center"/>
            </w:pPr>
            <w:r>
              <w:rPr>
                <w:b w:val="false"/>
                <w:bCs w:val="false"/>
                <w:color w:val="1B1B1F"/>
                <w:sz w:val="20"/>
                <w:szCs w:val="20"/>
              </w:rPr>
              <w:t xml:space="preserve">No</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Restricted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Card data, crypto keys, source code for payments and fraud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 (content exclusions 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Only with explicit Council approval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No</w:t>
            </w:r>
          </w:p>
        </w:tc>
      </w:tr>
    </w:tbl>
    <w:p>
      <w:pPr>
        <w:spacing w:after="80"/>
      </w:pPr>
      <w:r>
        <w:rPr>
          <w:i/>
          <w:iCs/>
          <w:color w:val="5A5A66"/>
          <w:sz w:val="20"/>
          <w:szCs w:val="20"/>
        </w:rPr>
        <w:t xml:space="preserve">Purview sensitivity labels are the enforcement mechanism: M365 Copilot respects labels at retrieval time, and label-based DLP policies block exfiltration of Restricted content into unapproved AI tools.</w:t>
      </w:r>
    </w:p>
    <w:p>
      <w:pPr>
        <w:pStyle w:val="Heading1"/>
        <w:spacing w:after="160" w:before="360"/>
      </w:pPr>
      <w:r>
        <w:rPr>
          <w:b/>
          <w:bCs/>
          <w:color w:val="1F3864"/>
          <w:sz w:val="30"/>
          <w:szCs w:val="30"/>
        </w:rPr>
        <w:t xml:space="preserve">10. Acceptable Use Policy (AI)</w:t>
      </w:r>
    </w:p>
    <w:p>
      <w:pPr>
        <w:spacing w:after="120" w:line="300"/>
      </w:pPr>
      <w:r>
        <w:t xml:space="preserve">This policy binds every employee and contractor. M365 Copilot is currently deployed to all users; this policy applies to that rollout in full, as well as to any developer-targeted or custom AI systems.</w:t>
      </w:r>
    </w:p>
    <w:p>
      <w:pPr>
        <w:pStyle w:val="Heading2"/>
        <w:spacing w:after="120" w:before="240"/>
      </w:pPr>
      <w:r>
        <w:rPr>
          <w:b/>
          <w:bCs/>
          <w:color w:val="0F1F44"/>
          <w:sz w:val="24"/>
          <w:szCs w:val="24"/>
        </w:rPr>
        <w:t xml:space="preserve">10.1 You may</w:t>
      </w:r>
    </w:p>
    <w:p>
      <w:pPr>
        <w:pStyle w:val="ListParagraph"/>
        <w:numPr>
          <w:ilvl w:val="0"/>
          <w:numId w:val="2"/>
        </w:numPr>
        <w:spacing w:after="80" w:line="280"/>
      </w:pPr>
      <w:r>
        <w:t xml:space="preserve">Use M365 Copilot on documents, emails and meetings you already have permission to access, consistent with sensitivity labels.</w:t>
      </w:r>
    </w:p>
    <w:p>
      <w:pPr>
        <w:pStyle w:val="ListParagraph"/>
        <w:numPr>
          <w:ilvl w:val="0"/>
          <w:numId w:val="2"/>
        </w:numPr>
        <w:spacing w:after="80" w:line="280"/>
      </w:pPr>
      <w:r>
        <w:t xml:space="preserve">Use GitHub Copilot Enterprise or Claude Code on Foundry within the scope of the developer Acceptable Use section (see Developer Rollout Plan).</w:t>
      </w:r>
    </w:p>
    <w:p>
      <w:pPr>
        <w:pStyle w:val="ListParagraph"/>
        <w:numPr>
          <w:ilvl w:val="0"/>
          <w:numId w:val="2"/>
        </w:numPr>
        <w:spacing w:after="80" w:line="280"/>
      </w:pPr>
      <w:r>
        <w:t xml:space="preserve">Propose new AI use cases via the intake process — experimentation is encouraged within the framework.</w:t>
      </w:r>
    </w:p>
    <w:p>
      <w:pPr>
        <w:pStyle w:val="Heading2"/>
        <w:spacing w:after="120" w:before="240"/>
      </w:pPr>
      <w:r>
        <w:rPr>
          <w:b/>
          <w:bCs/>
          <w:color w:val="0F1F44"/>
          <w:sz w:val="24"/>
          <w:szCs w:val="24"/>
        </w:rPr>
        <w:t xml:space="preserve">10.2 You must</w:t>
      </w:r>
    </w:p>
    <w:p>
      <w:pPr>
        <w:pStyle w:val="ListParagraph"/>
        <w:numPr>
          <w:ilvl w:val="0"/>
          <w:numId w:val="2"/>
        </w:numPr>
        <w:spacing w:after="80" w:line="280"/>
      </w:pPr>
      <w:r>
        <w:t xml:space="preserve">Treat AI outputs as drafts; you remain responsible for the work you produce and ship.</w:t>
      </w:r>
    </w:p>
    <w:p>
      <w:pPr>
        <w:pStyle w:val="ListParagraph"/>
        <w:numPr>
          <w:ilvl w:val="0"/>
          <w:numId w:val="2"/>
        </w:numPr>
        <w:spacing w:after="80" w:line="280"/>
      </w:pPr>
      <w:r>
        <w:t xml:space="preserve">Apply sensitivity labels correctly to the documents and records you create.</w:t>
      </w:r>
    </w:p>
    <w:p>
      <w:pPr>
        <w:pStyle w:val="ListParagraph"/>
        <w:numPr>
          <w:ilvl w:val="0"/>
          <w:numId w:val="2"/>
        </w:numPr>
        <w:spacing w:after="80" w:line="280"/>
      </w:pPr>
      <w:r>
        <w:t xml:space="preserve">Disclose to customers when AI has materially shaped a decision that affects them.</w:t>
      </w:r>
    </w:p>
    <w:p>
      <w:pPr>
        <w:pStyle w:val="ListParagraph"/>
        <w:numPr>
          <w:ilvl w:val="0"/>
          <w:numId w:val="2"/>
        </w:numPr>
        <w:spacing w:after="80" w:line="280"/>
      </w:pPr>
      <w:r>
        <w:t xml:space="preserve">Complete required AI literacy training within the timeframe set by People &amp; Culture.</w:t>
      </w:r>
    </w:p>
    <w:p>
      <w:pPr>
        <w:pStyle w:val="Heading2"/>
        <w:spacing w:after="120" w:before="240"/>
      </w:pPr>
      <w:r>
        <w:rPr>
          <w:b/>
          <w:bCs/>
          <w:color w:val="0F1F44"/>
          <w:sz w:val="24"/>
          <w:szCs w:val="24"/>
        </w:rPr>
        <w:t xml:space="preserve">10.3 You must not</w:t>
      </w:r>
    </w:p>
    <w:p>
      <w:pPr>
        <w:pStyle w:val="ListParagraph"/>
        <w:numPr>
          <w:ilvl w:val="0"/>
          <w:numId w:val="2"/>
        </w:numPr>
        <w:spacing w:after="80" w:line="280"/>
      </w:pPr>
      <w:r>
        <w:t xml:space="preserve">Paste customer PII, payment card data, authentication secrets, or Restricted content into any AI system not specifically approved for that data class.</w:t>
      </w:r>
    </w:p>
    <w:p>
      <w:pPr>
        <w:pStyle w:val="ListParagraph"/>
        <w:numPr>
          <w:ilvl w:val="0"/>
          <w:numId w:val="2"/>
        </w:numPr>
        <w:spacing w:after="80" w:line="280"/>
      </w:pPr>
      <w:r>
        <w:t xml:space="preserve">Use consumer AI services (free ChatGPT, Gemini, Claude consumer apps) with any Internal, Confidential or Restricted company data.</w:t>
      </w:r>
    </w:p>
    <w:p>
      <w:pPr>
        <w:pStyle w:val="ListParagraph"/>
        <w:numPr>
          <w:ilvl w:val="0"/>
          <w:numId w:val="2"/>
        </w:numPr>
        <w:spacing w:after="80" w:line="280"/>
      </w:pPr>
      <w:r>
        <w:t xml:space="preserve">Build or deploy an AI system outside the intake process, including 'shadow' Power Automate flows with AI Builder or unregistered Copilot Studio agents.</w:t>
      </w:r>
    </w:p>
    <w:p>
      <w:pPr>
        <w:pStyle w:val="ListParagraph"/>
        <w:numPr>
          <w:ilvl w:val="0"/>
          <w:numId w:val="2"/>
        </w:numPr>
        <w:spacing w:after="80" w:line="280"/>
      </w:pPr>
      <w:r>
        <w:t xml:space="preserve">Use AI to fabricate records, citations, or evidence, or to impersonate another person without disclosure.</w:t>
      </w:r>
    </w:p>
    <w:p>
      <w:pPr>
        <w:pStyle w:val="Heading1"/>
        <w:spacing w:after="160" w:before="360"/>
      </w:pPr>
      <w:r>
        <w:rPr>
          <w:b/>
          <w:bCs/>
          <w:color w:val="1F3864"/>
          <w:sz w:val="30"/>
          <w:szCs w:val="30"/>
        </w:rPr>
        <w:t xml:space="preserve">11. Incident Response for AI</w:t>
      </w:r>
    </w:p>
    <w:p>
      <w:pPr>
        <w:spacing w:after="120" w:line="300"/>
      </w:pPr>
      <w:r>
        <w:t xml:space="preserve">AI incidents use the organisation's existing incident-response runbook with AI-specific extensions. The objective is containment, restoration of trust and learning, not blame.</w:t>
      </w:r>
    </w:p>
    <w:p>
      <w:pPr>
        <w:pStyle w:val="Heading2"/>
        <w:spacing w:after="120" w:before="240"/>
      </w:pPr>
      <w:r>
        <w:rPr>
          <w:b/>
          <w:bCs/>
          <w:color w:val="0F1F44"/>
          <w:sz w:val="24"/>
          <w:szCs w:val="24"/>
        </w:rPr>
        <w:t xml:space="preserve">11.1 What counts as an AI incident</w:t>
      </w:r>
    </w:p>
    <w:p>
      <w:pPr>
        <w:pStyle w:val="ListParagraph"/>
        <w:numPr>
          <w:ilvl w:val="0"/>
          <w:numId w:val="2"/>
        </w:numPr>
        <w:spacing w:after="80" w:line="280"/>
      </w:pPr>
      <w:r>
        <w:t xml:space="preserve">Any output that causes customer harm, regulatory exposure, or reputational damage.</w:t>
      </w:r>
    </w:p>
    <w:p>
      <w:pPr>
        <w:pStyle w:val="ListParagraph"/>
        <w:numPr>
          <w:ilvl w:val="0"/>
          <w:numId w:val="2"/>
        </w:numPr>
        <w:spacing w:after="80" w:line="280"/>
      </w:pPr>
      <w:r>
        <w:t xml:space="preserve">Data leakage via AI prompts, outputs or indexing.</w:t>
      </w:r>
    </w:p>
    <w:p>
      <w:pPr>
        <w:pStyle w:val="ListParagraph"/>
        <w:numPr>
          <w:ilvl w:val="0"/>
          <w:numId w:val="2"/>
        </w:numPr>
        <w:spacing w:after="80" w:line="280"/>
      </w:pPr>
      <w:r>
        <w:t xml:space="preserve">Material fairness / bias finding in production.</w:t>
      </w:r>
    </w:p>
    <w:p>
      <w:pPr>
        <w:pStyle w:val="ListParagraph"/>
        <w:numPr>
          <w:ilvl w:val="0"/>
          <w:numId w:val="2"/>
        </w:numPr>
        <w:spacing w:after="80" w:line="280"/>
      </w:pPr>
      <w:r>
        <w:t xml:space="preserve">Prompt-injection or model-manipulation event with operational impact.</w:t>
      </w:r>
    </w:p>
    <w:p>
      <w:pPr>
        <w:pStyle w:val="ListParagraph"/>
        <w:numPr>
          <w:ilvl w:val="0"/>
          <w:numId w:val="2"/>
        </w:numPr>
        <w:spacing w:after="80" w:line="280"/>
      </w:pPr>
      <w:r>
        <w:t xml:space="preserve">Failure of a high-risk model (outage, drift beyond thresholds) with downstream impact.</w:t>
      </w:r>
    </w:p>
    <w:p>
      <w:pPr>
        <w:pStyle w:val="Heading2"/>
        <w:spacing w:after="120" w:before="240"/>
      </w:pPr>
      <w:r>
        <w:rPr>
          <w:b/>
          <w:bCs/>
          <w:color w:val="0F1F44"/>
          <w:sz w:val="24"/>
          <w:szCs w:val="24"/>
        </w:rPr>
        <w:t xml:space="preserve">11.2 Response roles</w:t>
      </w:r>
    </w:p>
    <w:p>
      <w:pPr>
        <w:pStyle w:val="ListParagraph"/>
        <w:numPr>
          <w:ilvl w:val="0"/>
          <w:numId w:val="2"/>
        </w:numPr>
        <w:spacing w:after="80" w:line="280"/>
      </w:pPr>
      <w:r>
        <w:t xml:space="preserve">Incident Commander: Head of AI &amp; Automation or nominated delegate.</w:t>
      </w:r>
    </w:p>
    <w:p>
      <w:pPr>
        <w:pStyle w:val="ListParagraph"/>
        <w:numPr>
          <w:ilvl w:val="0"/>
          <w:numId w:val="2"/>
        </w:numPr>
        <w:spacing w:after="80" w:line="280"/>
      </w:pPr>
      <w:r>
        <w:t xml:space="preserve">Model Owner: accountable for the affected system; leads technical investigation.</w:t>
      </w:r>
    </w:p>
    <w:p>
      <w:pPr>
        <w:pStyle w:val="ListParagraph"/>
        <w:numPr>
          <w:ilvl w:val="0"/>
          <w:numId w:val="2"/>
        </w:numPr>
        <w:spacing w:after="80" w:line="280"/>
      </w:pPr>
      <w:r>
        <w:t xml:space="preserve">Legal, Privacy, Comms, Security: standing responders per runbook.</w:t>
      </w:r>
    </w:p>
    <w:p>
      <w:pPr>
        <w:pStyle w:val="ListParagraph"/>
        <w:numPr>
          <w:ilvl w:val="0"/>
          <w:numId w:val="2"/>
        </w:numPr>
        <w:spacing w:after="80" w:line="280"/>
      </w:pPr>
      <w:r>
        <w:t xml:space="preserve">Regulator contact: General Counsel, with CRO informed.</w:t>
      </w:r>
    </w:p>
    <w:p>
      <w:pPr>
        <w:pStyle w:val="Heading2"/>
        <w:spacing w:after="120" w:before="240"/>
      </w:pPr>
      <w:r>
        <w:rPr>
          <w:b/>
          <w:bCs/>
          <w:color w:val="0F1F44"/>
          <w:sz w:val="24"/>
          <w:szCs w:val="24"/>
        </w:rPr>
        <w:t xml:space="preserve">11.3 Post-incident</w:t>
      </w:r>
    </w:p>
    <w:p>
      <w:pPr>
        <w:pStyle w:val="ListParagraph"/>
        <w:numPr>
          <w:ilvl w:val="0"/>
          <w:numId w:val="2"/>
        </w:numPr>
        <w:spacing w:after="80" w:line="280"/>
      </w:pPr>
      <w:r>
        <w:t xml:space="preserve">Blameless postmortem within 10 working days.</w:t>
      </w:r>
    </w:p>
    <w:p>
      <w:pPr>
        <w:pStyle w:val="ListParagraph"/>
        <w:numPr>
          <w:ilvl w:val="0"/>
          <w:numId w:val="2"/>
        </w:numPr>
        <w:spacing w:after="80" w:line="280"/>
      </w:pPr>
      <w:r>
        <w:t xml:space="preserve">Corrective actions tracked to closure in the AI register.</w:t>
      </w:r>
    </w:p>
    <w:p>
      <w:pPr>
        <w:pStyle w:val="ListParagraph"/>
        <w:numPr>
          <w:ilvl w:val="0"/>
          <w:numId w:val="2"/>
        </w:numPr>
        <w:spacing w:after="80" w:line="280"/>
      </w:pPr>
      <w:r>
        <w:t xml:space="preserve">AI Council reviews at the next standing meeting; material incidents escalated to ExCo and Board Risk.</w:t>
      </w:r>
    </w:p>
    <w:p>
      <w:pPr>
        <w:pStyle w:val="Heading1"/>
        <w:spacing w:after="160" w:before="360"/>
      </w:pPr>
      <w:r>
        <w:rPr>
          <w:b/>
          <w:bCs/>
          <w:color w:val="1F3864"/>
          <w:sz w:val="30"/>
          <w:szCs w:val="30"/>
        </w:rPr>
        <w:t xml:space="preserve">12. Third-Party and Supply Chain</w:t>
      </w:r>
    </w:p>
    <w:p>
      <w:pPr>
        <w:spacing w:after="120" w:line="300"/>
      </w:pPr>
      <w:r>
        <w:t xml:space="preserve">AI introduced through vendors receives the same scrutiny as AI built in-house. Third-party AI is onboarded via the existing vendor-risk process with AI-specific questions.</w:t>
      </w:r>
    </w:p>
    <w:p>
      <w:pPr>
        <w:pStyle w:val="ListParagraph"/>
        <w:numPr>
          <w:ilvl w:val="0"/>
          <w:numId w:val="2"/>
        </w:numPr>
        <w:spacing w:after="80" w:line="280"/>
      </w:pPr>
      <w:r>
        <w:t xml:space="preserve">Vendor AI risk questionnaire (data use, training posture, model provenance, evaluations, incident history).</w:t>
      </w:r>
    </w:p>
    <w:p>
      <w:pPr>
        <w:pStyle w:val="ListParagraph"/>
        <w:numPr>
          <w:ilvl w:val="0"/>
          <w:numId w:val="2"/>
        </w:numPr>
        <w:spacing w:after="80" w:line="280"/>
      </w:pPr>
      <w:r>
        <w:t xml:space="preserve">Contracts include terms on: no training on our data, data residency, breach notification, audit rights, AI-specific warranties and indemnities.</w:t>
      </w:r>
    </w:p>
    <w:p>
      <w:pPr>
        <w:pStyle w:val="ListParagraph"/>
        <w:numPr>
          <w:ilvl w:val="0"/>
          <w:numId w:val="2"/>
        </w:numPr>
        <w:spacing w:after="80" w:line="280"/>
      </w:pPr>
      <w:r>
        <w:t xml:space="preserve">Material changes by the vendor (model upgrade, provider change) trigger re-review.</w:t>
      </w:r>
    </w:p>
    <w:p>
      <w:pPr>
        <w:pStyle w:val="ListParagraph"/>
        <w:numPr>
          <w:ilvl w:val="0"/>
          <w:numId w:val="2"/>
        </w:numPr>
        <w:spacing w:after="80" w:line="280"/>
      </w:pPr>
      <w:r>
        <w:t xml:space="preserve">Approved vendors appear in the AI tooling register alongside in-house systems.</w:t>
      </w:r>
    </w:p>
    <w:p>
      <w:pPr>
        <w:pStyle w:val="Heading1"/>
        <w:spacing w:after="160" w:before="360"/>
      </w:pPr>
      <w:r>
        <w:rPr>
          <w:b/>
          <w:bCs/>
          <w:color w:val="1F3864"/>
          <w:sz w:val="30"/>
          <w:szCs w:val="30"/>
        </w:rPr>
        <w:t xml:space="preserve">13. Metrics and Reporting</w:t>
      </w:r>
    </w:p>
    <w:p>
      <w:pPr>
        <w:spacing w:after="120" w:line="300"/>
      </w:pPr>
      <w:r>
        <w:t xml:space="preserve">Reporting runs on three cadences: operational weekly, portfolio monthly, board quarterly.</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tblGrid>
      <w:tr>
        <w:trPr>
          <w:tblHeader/>
        </w:trPr>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Cadence</w:t>
            </w:r>
          </w:p>
        </w:tc>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Audience</w:t>
            </w:r>
          </w:p>
        </w:tc>
        <w:tc>
          <w:tcPr>
            <w:tcW w:type="pct" w:w="56%"/>
            <w:shd w:fill="1F3864" w:color="auto" w:val="clear"/>
            <w:tcMar>
              <w:top w:type="dxa" w:w="80"/>
              <w:left w:type="dxa" w:w="120"/>
              <w:bottom w:type="dxa" w:w="80"/>
              <w:right w:type="dxa" w:w="120"/>
            </w:tcMar>
          </w:tcPr>
          <w:p>
            <w:pPr>
              <w:spacing w:after="40"/>
              <w:jc w:val="left"/>
            </w:pPr>
            <w:r>
              <w:rPr>
                <w:b/>
                <w:bCs/>
                <w:color w:val="FFFFFF"/>
                <w:sz w:val="20"/>
                <w:szCs w:val="20"/>
              </w:rPr>
              <w:t xml:space="preserve">Metrics</w:t>
            </w:r>
          </w:p>
        </w:tc>
      </w:tr>
      <w:tr>
        <w:tc>
          <w:tcPr>
            <w:tcMar>
              <w:top w:type="dxa" w:w="80"/>
              <w:left w:type="dxa" w:w="120"/>
              <w:bottom w:type="dxa" w:w="80"/>
              <w:right w:type="dxa" w:w="120"/>
            </w:tcMar>
          </w:tcPr>
          <w:p>
            <w:pPr>
              <w:spacing w:after="40"/>
              <w:jc w:val="left"/>
            </w:pPr>
            <w:r>
              <w:rPr>
                <w:b/>
                <w:bCs/>
                <w:color w:val="1B1B1F"/>
                <w:sz w:val="20"/>
                <w:szCs w:val="20"/>
              </w:rPr>
              <w:t xml:space="preserve">Weekly</w:t>
            </w:r>
          </w:p>
        </w:tc>
        <w:tc>
          <w:tcPr>
            <w:tcMar>
              <w:top w:type="dxa" w:w="80"/>
              <w:left w:type="dxa" w:w="120"/>
              <w:bottom w:type="dxa" w:w="80"/>
              <w:right w:type="dxa" w:w="120"/>
            </w:tcMar>
          </w:tcPr>
          <w:p>
            <w:pPr>
              <w:spacing w:after="40"/>
              <w:jc w:val="left"/>
            </w:pPr>
            <w:r>
              <w:rPr>
                <w:b w:val="false"/>
                <w:bCs w:val="false"/>
                <w:color w:val="1B1B1F"/>
                <w:sz w:val="20"/>
                <w:szCs w:val="20"/>
              </w:rPr>
              <w:t xml:space="preserve">AI &amp; Automation team</w:t>
            </w:r>
          </w:p>
        </w:tc>
        <w:tc>
          <w:tcPr>
            <w:tcMar>
              <w:top w:type="dxa" w:w="80"/>
              <w:left w:type="dxa" w:w="120"/>
              <w:bottom w:type="dxa" w:w="80"/>
              <w:right w:type="dxa" w:w="120"/>
            </w:tcMar>
          </w:tcPr>
          <w:p>
            <w:pPr>
              <w:spacing w:after="40"/>
              <w:jc w:val="left"/>
            </w:pPr>
            <w:r>
              <w:rPr>
                <w:b w:val="false"/>
                <w:bCs w:val="false"/>
                <w:color w:val="1B1B1F"/>
                <w:sz w:val="20"/>
                <w:szCs w:val="20"/>
              </w:rPr>
              <w:t xml:space="preserve">Intake queue; incidents; new approvals; model usage; cost burn.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Monthly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AI Council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Portfolio status; risk posture; incidents; policy change requests; use-case outcomes vs. hypotheses.</w:t>
            </w:r>
          </w:p>
        </w:tc>
      </w:tr>
      <w:tr>
        <w:tc>
          <w:tcPr>
            <w:tcMar>
              <w:top w:type="dxa" w:w="80"/>
              <w:left w:type="dxa" w:w="120"/>
              <w:bottom w:type="dxa" w:w="80"/>
              <w:right w:type="dxa" w:w="120"/>
            </w:tcMar>
          </w:tcPr>
          <w:p>
            <w:pPr>
              <w:spacing w:after="40"/>
              <w:jc w:val="left"/>
            </w:pPr>
            <w:r>
              <w:rPr>
                <w:b/>
                <w:bCs/>
                <w:color w:val="1B1B1F"/>
                <w:sz w:val="20"/>
                <w:szCs w:val="20"/>
              </w:rPr>
              <w:t xml:space="preserve">Quarterly</w:t>
            </w:r>
          </w:p>
        </w:tc>
        <w:tc>
          <w:tcPr>
            <w:tcMar>
              <w:top w:type="dxa" w:w="80"/>
              <w:left w:type="dxa" w:w="120"/>
              <w:bottom w:type="dxa" w:w="80"/>
              <w:right w:type="dxa" w:w="120"/>
            </w:tcMar>
          </w:tcPr>
          <w:p>
            <w:pPr>
              <w:spacing w:after="40"/>
              <w:jc w:val="left"/>
            </w:pPr>
            <w:r>
              <w:rPr>
                <w:b w:val="false"/>
                <w:bCs w:val="false"/>
                <w:color w:val="1B1B1F"/>
                <w:sz w:val="20"/>
                <w:szCs w:val="20"/>
              </w:rPr>
              <w:t xml:space="preserve">ExCo / Board Risk</w:t>
            </w:r>
          </w:p>
        </w:tc>
        <w:tc>
          <w:tcPr>
            <w:tcMar>
              <w:top w:type="dxa" w:w="80"/>
              <w:left w:type="dxa" w:w="120"/>
              <w:bottom w:type="dxa" w:w="80"/>
              <w:right w:type="dxa" w:w="120"/>
            </w:tcMar>
          </w:tcPr>
          <w:p>
            <w:pPr>
              <w:spacing w:after="40"/>
              <w:jc w:val="left"/>
            </w:pPr>
            <w:r>
              <w:rPr>
                <w:b w:val="false"/>
                <w:bCs w:val="false"/>
                <w:color w:val="1B1B1F"/>
                <w:sz w:val="20"/>
                <w:szCs w:val="20"/>
              </w:rPr>
              <w:t xml:space="preserve">Strategy against plan; material incidents; regulatory horizon; investment vs. value; top risks.</w:t>
            </w:r>
          </w:p>
        </w:tc>
      </w:tr>
    </w:tbl>
    <w:p>
      <w:pPr>
        <w:pStyle w:val="Heading1"/>
        <w:spacing w:after="160" w:before="360"/>
      </w:pPr>
      <w:r>
        <w:rPr>
          <w:b/>
          <w:bCs/>
          <w:color w:val="1F3864"/>
          <w:sz w:val="30"/>
          <w:szCs w:val="30"/>
        </w:rPr>
        <w:t xml:space="preserve">14. Review and Change Control</w:t>
      </w:r>
    </w:p>
    <w:p>
      <w:pPr>
        <w:pStyle w:val="ListParagraph"/>
        <w:numPr>
          <w:ilvl w:val="0"/>
          <w:numId w:val="2"/>
        </w:numPr>
        <w:spacing w:after="80" w:line="280"/>
      </w:pPr>
      <w:r>
        <w:t xml:space="preserve">This framework is reviewed annually by the AI Council, or sooner on a material regulatory change (e.g. EU AI Act enforcement phase, updated SARB / CBN guidance).</w:t>
      </w:r>
    </w:p>
    <w:p>
      <w:pPr>
        <w:pStyle w:val="ListParagraph"/>
        <w:numPr>
          <w:ilvl w:val="0"/>
          <w:numId w:val="2"/>
        </w:numPr>
        <w:spacing w:after="80" w:line="280"/>
      </w:pPr>
      <w:r>
        <w:t xml:space="preserve">Proposed changes are submitted as versioned amendments; the framework is re-published with a changelog.</w:t>
      </w:r>
    </w:p>
    <w:p>
      <w:pPr>
        <w:pStyle w:val="ListParagraph"/>
        <w:numPr>
          <w:ilvl w:val="0"/>
          <w:numId w:val="2"/>
        </w:numPr>
        <w:spacing w:after="80" w:line="280"/>
      </w:pPr>
      <w:r>
        <w:t xml:space="preserve">Material deviations from the framework require documented exception approval by the AI Council (Tier 1 / Tier 2) or Chair (Tier 3).</w:t>
      </w:r>
    </w:p>
    <w:p>
      <w:pPr>
        <w:pStyle w:val="Heading1"/>
        <w:spacing w:after="160" w:before="360"/>
      </w:pPr>
      <w:r>
        <w:rPr>
          <w:b/>
          <w:bCs/>
          <w:color w:val="1F3864"/>
          <w:sz w:val="30"/>
          <w:szCs w:val="30"/>
        </w:rPr>
        <w:t xml:space="preserve">Appendix A: Use-Case Intake Form (Template)</w:t>
      </w:r>
    </w:p>
    <w:p>
      <w:pPr>
        <w:spacing w:after="80"/>
      </w:pPr>
      <w:r>
        <w:rPr>
          <w:i/>
          <w:iCs/>
          <w:color w:val="5A5A66"/>
          <w:sz w:val="20"/>
          <w:szCs w:val="20"/>
        </w:rPr>
        <w:t xml:space="preserve">Submitters complete this form at Stage 1. AI &amp; Automation supports on any section the submitter is unsure about.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8%"/>
            <w:shd w:fill="1F3864" w:color="auto" w:val="clear"/>
            <w:tcMar>
              <w:top w:type="dxa" w:w="80"/>
              <w:left w:type="dxa" w:w="120"/>
              <w:bottom w:type="dxa" w:w="80"/>
              <w:right w:type="dxa" w:w="120"/>
            </w:tcMar>
          </w:tcPr>
          <w:p>
            <w:pPr>
              <w:spacing w:after="40"/>
              <w:jc w:val="left"/>
            </w:pPr>
            <w:r>
              <w:rPr>
                <w:b/>
                <w:bCs/>
                <w:color w:val="FFFFFF"/>
                <w:sz w:val="20"/>
                <w:szCs w:val="20"/>
              </w:rPr>
              <w:t xml:space="preserve">Field</w:t>
            </w:r>
          </w:p>
        </w:tc>
        <w:tc>
          <w:tcPr>
            <w:tcW w:type="pct" w:w="72%"/>
            <w:shd w:fill="1F3864" w:color="auto" w:val="clear"/>
            <w:tcMar>
              <w:top w:type="dxa" w:w="80"/>
              <w:left w:type="dxa" w:w="120"/>
              <w:bottom w:type="dxa" w:w="80"/>
              <w:right w:type="dxa" w:w="120"/>
            </w:tcMar>
          </w:tcPr>
          <w:p>
            <w:pPr>
              <w:spacing w:after="40"/>
              <w:jc w:val="left"/>
            </w:pPr>
            <w:r>
              <w:rPr>
                <w:b/>
                <w:bCs/>
                <w:color w:val="FFFFFF"/>
                <w:sz w:val="20"/>
                <w:szCs w:val="20"/>
              </w:rPr>
              <w:t xml:space="preserve">Guidance</w:t>
            </w:r>
          </w:p>
        </w:tc>
      </w:tr>
      <w:tr>
        <w:tc>
          <w:tcPr>
            <w:tcMar>
              <w:top w:type="dxa" w:w="80"/>
              <w:left w:type="dxa" w:w="120"/>
              <w:bottom w:type="dxa" w:w="80"/>
              <w:right w:type="dxa" w:w="120"/>
            </w:tcMar>
          </w:tcPr>
          <w:p>
            <w:pPr>
              <w:spacing w:after="40"/>
              <w:jc w:val="left"/>
            </w:pPr>
            <w:r>
              <w:rPr>
                <w:b/>
                <w:bCs/>
                <w:color w:val="1B1B1F"/>
                <w:sz w:val="20"/>
                <w:szCs w:val="20"/>
              </w:rPr>
              <w:t xml:space="preserve">Use-case name</w:t>
            </w:r>
          </w:p>
        </w:tc>
        <w:tc>
          <w:tcPr>
            <w:tcMar>
              <w:top w:type="dxa" w:w="80"/>
              <w:left w:type="dxa" w:w="120"/>
              <w:bottom w:type="dxa" w:w="80"/>
              <w:right w:type="dxa" w:w="120"/>
            </w:tcMar>
          </w:tcPr>
          <w:p>
            <w:pPr>
              <w:spacing w:after="40"/>
              <w:jc w:val="left"/>
            </w:pPr>
            <w:r>
              <w:rPr>
                <w:b w:val="false"/>
                <w:bCs w:val="false"/>
                <w:color w:val="1B1B1F"/>
                <w:sz w:val="20"/>
                <w:szCs w:val="20"/>
              </w:rPr>
              <w:t xml:space="preserve">Short, descriptive. 'Claims first-notice-of-loss summariser'.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Sponsor (business owner)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Named leader, grade, function.</w:t>
            </w:r>
          </w:p>
        </w:tc>
      </w:tr>
      <w:tr>
        <w:tc>
          <w:tcPr>
            <w:tcMar>
              <w:top w:type="dxa" w:w="80"/>
              <w:left w:type="dxa" w:w="120"/>
              <w:bottom w:type="dxa" w:w="80"/>
              <w:right w:type="dxa" w:w="120"/>
            </w:tcMar>
          </w:tcPr>
          <w:p>
            <w:pPr>
              <w:spacing w:after="40"/>
              <w:jc w:val="left"/>
            </w:pPr>
            <w:r>
              <w:rPr>
                <w:b/>
                <w:bCs/>
                <w:color w:val="1B1B1F"/>
                <w:sz w:val="20"/>
                <w:szCs w:val="20"/>
              </w:rPr>
              <w:t xml:space="preserve">Problem statement</w:t>
            </w:r>
          </w:p>
        </w:tc>
        <w:tc>
          <w:tcPr>
            <w:tcMar>
              <w:top w:type="dxa" w:w="80"/>
              <w:left w:type="dxa" w:w="120"/>
              <w:bottom w:type="dxa" w:w="80"/>
              <w:right w:type="dxa" w:w="120"/>
            </w:tcMar>
          </w:tcPr>
          <w:p>
            <w:pPr>
              <w:spacing w:after="40"/>
              <w:jc w:val="left"/>
            </w:pPr>
            <w:r>
              <w:rPr>
                <w:b w:val="false"/>
                <w:bCs w:val="false"/>
                <w:color w:val="1B1B1F"/>
                <w:sz w:val="20"/>
                <w:szCs w:val="20"/>
              </w:rPr>
              <w:t xml:space="preserve">What hurts today? Who feels the pain? Evidence.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Proposed solution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What AI approach is being proposed and why over simpler alternatives.</w:t>
            </w:r>
          </w:p>
        </w:tc>
      </w:tr>
      <w:tr>
        <w:tc>
          <w:tcPr>
            <w:tcMar>
              <w:top w:type="dxa" w:w="80"/>
              <w:left w:type="dxa" w:w="120"/>
              <w:bottom w:type="dxa" w:w="80"/>
              <w:right w:type="dxa" w:w="120"/>
            </w:tcMar>
          </w:tcPr>
          <w:p>
            <w:pPr>
              <w:spacing w:after="40"/>
              <w:jc w:val="left"/>
            </w:pPr>
            <w:r>
              <w:rPr>
                <w:b/>
                <w:bCs/>
                <w:color w:val="1B1B1F"/>
                <w:sz w:val="20"/>
                <w:szCs w:val="20"/>
              </w:rPr>
              <w:t xml:space="preserve">Data used</w:t>
            </w:r>
          </w:p>
        </w:tc>
        <w:tc>
          <w:tcPr>
            <w:tcMar>
              <w:top w:type="dxa" w:w="80"/>
              <w:left w:type="dxa" w:w="120"/>
              <w:bottom w:type="dxa" w:w="80"/>
              <w:right w:type="dxa" w:w="120"/>
            </w:tcMar>
          </w:tcPr>
          <w:p>
            <w:pPr>
              <w:spacing w:after="40"/>
              <w:jc w:val="left"/>
            </w:pPr>
            <w:r>
              <w:rPr>
                <w:b w:val="false"/>
                <w:bCs w:val="false"/>
                <w:color w:val="1B1B1F"/>
                <w:sz w:val="20"/>
                <w:szCs w:val="20"/>
              </w:rPr>
              <w:t xml:space="preserve">Data categories, classification labels, sources, residency.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Audience / decision impact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Who uses the output. Does it drive a customer-affecting decision? Can a human override?</w:t>
            </w:r>
          </w:p>
        </w:tc>
      </w:tr>
      <w:tr>
        <w:tc>
          <w:tcPr>
            <w:tcMar>
              <w:top w:type="dxa" w:w="80"/>
              <w:left w:type="dxa" w:w="120"/>
              <w:bottom w:type="dxa" w:w="80"/>
              <w:right w:type="dxa" w:w="120"/>
            </w:tcMar>
          </w:tcPr>
          <w:p>
            <w:pPr>
              <w:spacing w:after="40"/>
              <w:jc w:val="left"/>
            </w:pPr>
            <w:r>
              <w:rPr>
                <w:b/>
                <w:bCs/>
                <w:color w:val="1B1B1F"/>
                <w:sz w:val="20"/>
                <w:szCs w:val="20"/>
              </w:rPr>
              <w:t xml:space="preserve">Proposed tier</w:t>
            </w:r>
          </w:p>
        </w:tc>
        <w:tc>
          <w:tcPr>
            <w:tcMar>
              <w:top w:type="dxa" w:w="80"/>
              <w:left w:type="dxa" w:w="120"/>
              <w:bottom w:type="dxa" w:w="80"/>
              <w:right w:type="dxa" w:w="120"/>
            </w:tcMar>
          </w:tcPr>
          <w:p>
            <w:pPr>
              <w:spacing w:after="40"/>
              <w:jc w:val="left"/>
            </w:pPr>
            <w:r>
              <w:rPr>
                <w:b w:val="false"/>
                <w:bCs w:val="false"/>
                <w:color w:val="1B1B1F"/>
                <w:sz w:val="20"/>
                <w:szCs w:val="20"/>
              </w:rPr>
              <w:t xml:space="preserve">T1 / T2 / T3 with rationale. T4 signals a stop.</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Value hypothesis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Expected benefit, metric, target, measurement plan.</w:t>
            </w:r>
          </w:p>
        </w:tc>
      </w:tr>
      <w:tr>
        <w:tc>
          <w:tcPr>
            <w:tcMar>
              <w:top w:type="dxa" w:w="80"/>
              <w:left w:type="dxa" w:w="120"/>
              <w:bottom w:type="dxa" w:w="80"/>
              <w:right w:type="dxa" w:w="120"/>
            </w:tcMar>
          </w:tcPr>
          <w:p>
            <w:pPr>
              <w:spacing w:after="40"/>
              <w:jc w:val="left"/>
            </w:pPr>
            <w:r>
              <w:rPr>
                <w:b/>
                <w:bCs/>
                <w:color w:val="1B1B1F"/>
                <w:sz w:val="20"/>
                <w:szCs w:val="20"/>
              </w:rPr>
              <w:t xml:space="preserve">Risks</w:t>
            </w:r>
          </w:p>
        </w:tc>
        <w:tc>
          <w:tcPr>
            <w:tcMar>
              <w:top w:type="dxa" w:w="80"/>
              <w:left w:type="dxa" w:w="120"/>
              <w:bottom w:type="dxa" w:w="80"/>
              <w:right w:type="dxa" w:w="120"/>
            </w:tcMar>
          </w:tcPr>
          <w:p>
            <w:pPr>
              <w:spacing w:after="40"/>
              <w:jc w:val="left"/>
            </w:pPr>
            <w:r>
              <w:rPr>
                <w:b w:val="false"/>
                <w:bCs w:val="false"/>
                <w:color w:val="1B1B1F"/>
                <w:sz w:val="20"/>
                <w:szCs w:val="20"/>
              </w:rPr>
              <w:t xml:space="preserve">Top three risks and proposed mitigations. Fairness, privacy, security.</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Dependencies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Platforms, data sources, models, approvals, third parties.</w:t>
            </w:r>
          </w:p>
        </w:tc>
      </w:tr>
      <w:tr>
        <w:tc>
          <w:tcPr>
            <w:tcMar>
              <w:top w:type="dxa" w:w="80"/>
              <w:left w:type="dxa" w:w="120"/>
              <w:bottom w:type="dxa" w:w="80"/>
              <w:right w:type="dxa" w:w="120"/>
            </w:tcMar>
          </w:tcPr>
          <w:p>
            <w:pPr>
              <w:spacing w:after="40"/>
              <w:jc w:val="left"/>
            </w:pPr>
            <w:r>
              <w:rPr>
                <w:b/>
                <w:bCs/>
                <w:color w:val="1B1B1F"/>
                <w:sz w:val="20"/>
                <w:szCs w:val="20"/>
              </w:rPr>
              <w:t xml:space="preserve">Timeline</w:t>
            </w:r>
          </w:p>
        </w:tc>
        <w:tc>
          <w:tcPr>
            <w:tcMar>
              <w:top w:type="dxa" w:w="80"/>
              <w:left w:type="dxa" w:w="120"/>
              <w:bottom w:type="dxa" w:w="80"/>
              <w:right w:type="dxa" w:w="120"/>
            </w:tcMar>
          </w:tcPr>
          <w:p>
            <w:pPr>
              <w:spacing w:after="40"/>
              <w:jc w:val="left"/>
            </w:pPr>
            <w:r>
              <w:rPr>
                <w:b w:val="false"/>
                <w:bCs w:val="false"/>
                <w:color w:val="1B1B1F"/>
                <w:sz w:val="20"/>
                <w:szCs w:val="20"/>
              </w:rPr>
              <w:t xml:space="preserve">Target dates for intake approval, pilot start, production.</w:t>
            </w:r>
          </w:p>
        </w:tc>
      </w:tr>
    </w:tbl>
    <w:p>
      <w:pPr>
        <w:pStyle w:val="Heading1"/>
        <w:spacing w:after="160" w:before="360"/>
      </w:pPr>
      <w:r>
        <w:rPr>
          <w:b/>
          <w:bCs/>
          <w:color w:val="1F3864"/>
          <w:sz w:val="30"/>
          <w:szCs w:val="30"/>
        </w:rPr>
        <w:t xml:space="preserve">Appendix B: Risk Tier Rubric</w:t>
      </w:r>
    </w:p>
    <w:p>
      <w:pPr>
        <w:spacing w:after="120" w:line="300"/>
      </w:pPr>
      <w:r>
        <w:t xml:space="preserve">Use the highest-scoring dimension to set the tier. When multiple dimensions score the same, default up one tier.</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Dimension</w:t>
            </w:r>
          </w:p>
        </w:tc>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T3 (Minimal)</w:t>
            </w:r>
          </w:p>
        </w:tc>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T2 (Limited)</w:t>
            </w:r>
          </w:p>
        </w:tc>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T1 (High)</w:t>
            </w:r>
          </w:p>
        </w:tc>
      </w:tr>
      <w:tr>
        <w:tc>
          <w:tcPr>
            <w:tcMar>
              <w:top w:type="dxa" w:w="80"/>
              <w:left w:type="dxa" w:w="120"/>
              <w:bottom w:type="dxa" w:w="80"/>
              <w:right w:type="dxa" w:w="120"/>
            </w:tcMar>
          </w:tcPr>
          <w:p>
            <w:pPr>
              <w:spacing w:after="40"/>
              <w:jc w:val="left"/>
            </w:pPr>
            <w:r>
              <w:rPr>
                <w:b/>
                <w:bCs/>
                <w:color w:val="1B1B1F"/>
                <w:sz w:val="20"/>
                <w:szCs w:val="20"/>
              </w:rPr>
              <w:t xml:space="preserve">Decision impact</w:t>
            </w:r>
          </w:p>
        </w:tc>
        <w:tc>
          <w:tcPr>
            <w:tcMar>
              <w:top w:type="dxa" w:w="80"/>
              <w:left w:type="dxa" w:w="120"/>
              <w:bottom w:type="dxa" w:w="80"/>
              <w:right w:type="dxa" w:w="120"/>
            </w:tcMar>
          </w:tcPr>
          <w:p>
            <w:pPr>
              <w:spacing w:after="40"/>
              <w:jc w:val="left"/>
            </w:pPr>
            <w:r>
              <w:rPr>
                <w:b w:val="false"/>
                <w:bCs w:val="false"/>
                <w:color w:val="1B1B1F"/>
                <w:sz w:val="20"/>
                <w:szCs w:val="20"/>
              </w:rPr>
              <w:t xml:space="preserve">Drafting support only</w:t>
            </w:r>
          </w:p>
        </w:tc>
        <w:tc>
          <w:tcPr>
            <w:tcMar>
              <w:top w:type="dxa" w:w="80"/>
              <w:left w:type="dxa" w:w="120"/>
              <w:bottom w:type="dxa" w:w="80"/>
              <w:right w:type="dxa" w:w="120"/>
            </w:tcMar>
          </w:tcPr>
          <w:p>
            <w:pPr>
              <w:spacing w:after="40"/>
              <w:jc w:val="left"/>
            </w:pPr>
            <w:r>
              <w:rPr>
                <w:b w:val="false"/>
                <w:bCs w:val="false"/>
                <w:color w:val="1B1B1F"/>
                <w:sz w:val="20"/>
                <w:szCs w:val="20"/>
              </w:rPr>
              <w:t xml:space="preserve">Advisory to a human decider</w:t>
            </w:r>
          </w:p>
        </w:tc>
        <w:tc>
          <w:tcPr>
            <w:tcMar>
              <w:top w:type="dxa" w:w="80"/>
              <w:left w:type="dxa" w:w="120"/>
              <w:bottom w:type="dxa" w:w="80"/>
              <w:right w:type="dxa" w:w="120"/>
            </w:tcMar>
          </w:tcPr>
          <w:p>
            <w:pPr>
              <w:spacing w:after="40"/>
              <w:jc w:val="left"/>
            </w:pPr>
            <w:r>
              <w:rPr>
                <w:b w:val="false"/>
                <w:bCs w:val="false"/>
                <w:color w:val="1B1B1F"/>
                <w:sz w:val="20"/>
                <w:szCs w:val="20"/>
              </w:rPr>
              <w:t xml:space="preserve">Adjudicative or automated action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Data sensitivity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Public / Internal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Confidential</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Restricted or regulated data</w:t>
            </w:r>
          </w:p>
        </w:tc>
      </w:tr>
      <w:tr>
        <w:tc>
          <w:tcPr>
            <w:tcMar>
              <w:top w:type="dxa" w:w="80"/>
              <w:left w:type="dxa" w:w="120"/>
              <w:bottom w:type="dxa" w:w="80"/>
              <w:right w:type="dxa" w:w="120"/>
            </w:tcMar>
          </w:tcPr>
          <w:p>
            <w:pPr>
              <w:spacing w:after="40"/>
              <w:jc w:val="left"/>
            </w:pPr>
            <w:r>
              <w:rPr>
                <w:b/>
                <w:bCs/>
                <w:color w:val="1B1B1F"/>
                <w:sz w:val="20"/>
                <w:szCs w:val="20"/>
              </w:rPr>
              <w:t xml:space="preserve">Customer exposure</w:t>
            </w:r>
          </w:p>
        </w:tc>
        <w:tc>
          <w:tcPr>
            <w:tcMar>
              <w:top w:type="dxa" w:w="80"/>
              <w:left w:type="dxa" w:w="120"/>
              <w:bottom w:type="dxa" w:w="80"/>
              <w:right w:type="dxa" w:w="120"/>
            </w:tcMar>
          </w:tcPr>
          <w:p>
            <w:pPr>
              <w:spacing w:after="40"/>
              <w:jc w:val="left"/>
            </w:pPr>
            <w:r>
              <w:rPr>
                <w:b w:val="false"/>
                <w:bCs w:val="false"/>
                <w:color w:val="1B1B1F"/>
                <w:sz w:val="20"/>
                <w:szCs w:val="20"/>
              </w:rPr>
              <w:t xml:space="preserve">Internal only</w:t>
            </w:r>
          </w:p>
        </w:tc>
        <w:tc>
          <w:tcPr>
            <w:tcMar>
              <w:top w:type="dxa" w:w="80"/>
              <w:left w:type="dxa" w:w="120"/>
              <w:bottom w:type="dxa" w:w="80"/>
              <w:right w:type="dxa" w:w="120"/>
            </w:tcMar>
          </w:tcPr>
          <w:p>
            <w:pPr>
              <w:spacing w:after="40"/>
              <w:jc w:val="left"/>
            </w:pPr>
            <w:r>
              <w:rPr>
                <w:b w:val="false"/>
                <w:bCs w:val="false"/>
                <w:color w:val="1B1B1F"/>
                <w:sz w:val="20"/>
                <w:szCs w:val="20"/>
              </w:rPr>
              <w:t xml:space="preserve">Customer-visible but not decisioning</w:t>
            </w:r>
          </w:p>
        </w:tc>
        <w:tc>
          <w:tcPr>
            <w:tcMar>
              <w:top w:type="dxa" w:w="80"/>
              <w:left w:type="dxa" w:w="120"/>
              <w:bottom w:type="dxa" w:w="80"/>
              <w:right w:type="dxa" w:w="120"/>
            </w:tcMar>
          </w:tcPr>
          <w:p>
            <w:pPr>
              <w:spacing w:after="40"/>
              <w:jc w:val="left"/>
            </w:pPr>
            <w:r>
              <w:rPr>
                <w:b w:val="false"/>
                <w:bCs w:val="false"/>
                <w:color w:val="1B1B1F"/>
                <w:sz w:val="20"/>
                <w:szCs w:val="20"/>
              </w:rPr>
              <w:t xml:space="preserve">Directly shapes a customer outcome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Regulatory footprint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None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Indirect (tools used by regulated staff)</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Directly subject to regulator scrutiny</w:t>
            </w:r>
          </w:p>
        </w:tc>
      </w:tr>
      <w:tr>
        <w:tc>
          <w:tcPr>
            <w:tcMar>
              <w:top w:type="dxa" w:w="80"/>
              <w:left w:type="dxa" w:w="120"/>
              <w:bottom w:type="dxa" w:w="80"/>
              <w:right w:type="dxa" w:w="120"/>
            </w:tcMar>
          </w:tcPr>
          <w:p>
            <w:pPr>
              <w:spacing w:after="40"/>
              <w:jc w:val="left"/>
            </w:pPr>
            <w:r>
              <w:rPr>
                <w:b/>
                <w:bCs/>
                <w:color w:val="1B1B1F"/>
                <w:sz w:val="20"/>
                <w:szCs w:val="20"/>
              </w:rPr>
              <w:t xml:space="preserve">Autonomy</w:t>
            </w:r>
          </w:p>
        </w:tc>
        <w:tc>
          <w:tcPr>
            <w:tcMar>
              <w:top w:type="dxa" w:w="80"/>
              <w:left w:type="dxa" w:w="120"/>
              <w:bottom w:type="dxa" w:w="80"/>
              <w:right w:type="dxa" w:w="120"/>
            </w:tcMar>
          </w:tcPr>
          <w:p>
            <w:pPr>
              <w:spacing w:after="40"/>
              <w:jc w:val="left"/>
            </w:pPr>
            <w:r>
              <w:rPr>
                <w:b w:val="false"/>
                <w:bCs w:val="false"/>
                <w:color w:val="1B1B1F"/>
                <w:sz w:val="20"/>
                <w:szCs w:val="20"/>
              </w:rPr>
              <w:t xml:space="preserve">Suggestions; user accepts each</w:t>
            </w:r>
          </w:p>
        </w:tc>
        <w:tc>
          <w:tcPr>
            <w:tcMar>
              <w:top w:type="dxa" w:w="80"/>
              <w:left w:type="dxa" w:w="120"/>
              <w:bottom w:type="dxa" w:w="80"/>
              <w:right w:type="dxa" w:w="120"/>
            </w:tcMar>
          </w:tcPr>
          <w:p>
            <w:pPr>
              <w:spacing w:after="40"/>
              <w:jc w:val="left"/>
            </w:pPr>
            <w:r>
              <w:rPr>
                <w:b w:val="false"/>
                <w:bCs w:val="false"/>
                <w:color w:val="1B1B1F"/>
                <w:sz w:val="20"/>
                <w:szCs w:val="20"/>
              </w:rPr>
              <w:t xml:space="preserve">Structured workflow with approvals</w:t>
            </w:r>
          </w:p>
        </w:tc>
        <w:tc>
          <w:tcPr>
            <w:tcMar>
              <w:top w:type="dxa" w:w="80"/>
              <w:left w:type="dxa" w:w="120"/>
              <w:bottom w:type="dxa" w:w="80"/>
              <w:right w:type="dxa" w:w="120"/>
            </w:tcMar>
          </w:tcPr>
          <w:p>
            <w:pPr>
              <w:spacing w:after="40"/>
              <w:jc w:val="left"/>
            </w:pPr>
            <w:r>
              <w:rPr>
                <w:b w:val="false"/>
                <w:bCs w:val="false"/>
                <w:color w:val="1B1B1F"/>
                <w:sz w:val="20"/>
                <w:szCs w:val="20"/>
              </w:rPr>
              <w:t xml:space="preserve">Agentic / autonomous execution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Reversibility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Fully reversible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Reversible with effort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Irreversible or customer-affecting</w:t>
            </w:r>
          </w:p>
        </w:tc>
      </w:tr>
    </w:tbl>
    <w:p>
      <w:pPr>
        <w:pStyle w:val="Heading1"/>
        <w:spacing w:after="160" w:before="360"/>
      </w:pPr>
      <w:r>
        <w:rPr>
          <w:b/>
          <w:bCs/>
          <w:color w:val="1F3864"/>
          <w:sz w:val="30"/>
          <w:szCs w:val="30"/>
        </w:rPr>
        <w:t xml:space="preserve">Appendix C: Currently Registered AI Systems</w:t>
      </w:r>
    </w:p>
    <w:p>
      <w:pPr>
        <w:spacing w:after="80"/>
      </w:pPr>
      <w:r>
        <w:rPr>
          <w:i/>
          <w:iCs/>
          <w:color w:val="5A5A66"/>
          <w:sz w:val="20"/>
          <w:szCs w:val="20"/>
        </w:rPr>
        <w:t xml:space="preserve">Snapshot at framework v1.0. The AI register is the authoritative source.</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24%"/>
            <w:shd w:fill="1F3864" w:color="auto" w:val="clear"/>
            <w:tcMar>
              <w:top w:type="dxa" w:w="80"/>
              <w:left w:type="dxa" w:w="120"/>
              <w:bottom w:type="dxa" w:w="80"/>
              <w:right w:type="dxa" w:w="120"/>
            </w:tcMar>
          </w:tcPr>
          <w:p>
            <w:pPr>
              <w:spacing w:after="40"/>
              <w:jc w:val="left"/>
            </w:pPr>
            <w:r>
              <w:rPr>
                <w:b/>
                <w:bCs/>
                <w:color w:val="FFFFFF"/>
                <w:sz w:val="20"/>
                <w:szCs w:val="20"/>
              </w:rPr>
              <w:t xml:space="preserve">System</w:t>
            </w:r>
          </w:p>
        </w:tc>
        <w:tc>
          <w:tcPr>
            <w:tcW w:type="pct" w:w="10%"/>
            <w:shd w:fill="1F3864" w:color="auto" w:val="clear"/>
            <w:tcMar>
              <w:top w:type="dxa" w:w="80"/>
              <w:left w:type="dxa" w:w="120"/>
              <w:bottom w:type="dxa" w:w="80"/>
              <w:right w:type="dxa" w:w="120"/>
            </w:tcMar>
          </w:tcPr>
          <w:p>
            <w:pPr>
              <w:spacing w:after="40"/>
              <w:jc w:val="center"/>
            </w:pPr>
            <w:r>
              <w:rPr>
                <w:b/>
                <w:bCs/>
                <w:color w:val="FFFFFF"/>
                <w:sz w:val="20"/>
                <w:szCs w:val="20"/>
              </w:rPr>
              <w:t xml:space="preserve">Tier</w:t>
            </w:r>
          </w:p>
        </w:tc>
        <w:tc>
          <w:tcPr>
            <w:tcW w:type="pct" w:w="20%"/>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Status</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Next review</w:t>
            </w:r>
          </w:p>
        </w:tc>
      </w:tr>
      <w:tr>
        <w:tc>
          <w:tcPr>
            <w:tcMar>
              <w:top w:type="dxa" w:w="80"/>
              <w:left w:type="dxa" w:w="120"/>
              <w:bottom w:type="dxa" w:w="80"/>
              <w:right w:type="dxa" w:w="120"/>
            </w:tcMar>
          </w:tcPr>
          <w:p>
            <w:pPr>
              <w:spacing w:after="40"/>
              <w:jc w:val="left"/>
            </w:pPr>
            <w:r>
              <w:rPr>
                <w:b/>
                <w:bCs/>
                <w:color w:val="1B1B1F"/>
                <w:sz w:val="20"/>
                <w:szCs w:val="20"/>
              </w:rPr>
              <w:t xml:space="preserve">M365 Copilot (enterprise-wide)</w:t>
            </w:r>
          </w:p>
        </w:tc>
        <w:tc>
          <w:tcPr>
            <w:tcMar>
              <w:top w:type="dxa" w:w="80"/>
              <w:left w:type="dxa" w:w="120"/>
              <w:bottom w:type="dxa" w:w="80"/>
              <w:right w:type="dxa" w:w="120"/>
            </w:tcMar>
          </w:tcPr>
          <w:p>
            <w:pPr>
              <w:spacing w:after="40"/>
              <w:jc w:val="center"/>
            </w:pPr>
            <w:r>
              <w:rPr>
                <w:b w:val="false"/>
                <w:bCs w:val="false"/>
                <w:color w:val="1B1B1F"/>
                <w:sz w:val="20"/>
                <w:szCs w:val="20"/>
              </w:rPr>
              <w:t xml:space="preserve">T3</w:t>
            </w:r>
          </w:p>
        </w:tc>
        <w:tc>
          <w:tcPr>
            <w:tcMar>
              <w:top w:type="dxa" w:w="80"/>
              <w:left w:type="dxa" w:w="120"/>
              <w:bottom w:type="dxa" w:w="80"/>
              <w:right w:type="dxa" w:w="120"/>
            </w:tcMar>
          </w:tcPr>
          <w:p>
            <w:pPr>
              <w:spacing w:after="40"/>
              <w:jc w:val="left"/>
            </w:pPr>
            <w:r>
              <w:rPr>
                <w:b w:val="false"/>
                <w:bCs w:val="false"/>
                <w:color w:val="1B1B1F"/>
                <w:sz w:val="20"/>
                <w:szCs w:val="20"/>
              </w:rPr>
              <w:t xml:space="preserve">CIO / Head of AI &amp; Automation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Live</w:t>
            </w:r>
          </w:p>
        </w:tc>
        <w:tc>
          <w:tcPr>
            <w:tcMar>
              <w:top w:type="dxa" w:w="80"/>
              <w:left w:type="dxa" w:w="120"/>
              <w:bottom w:type="dxa" w:w="80"/>
              <w:right w:type="dxa" w:w="120"/>
            </w:tcMar>
          </w:tcPr>
          <w:p>
            <w:pPr>
              <w:spacing w:after="40"/>
              <w:jc w:val="left"/>
            </w:pPr>
            <w:r>
              <w:rPr>
                <w:b w:val="false"/>
                <w:bCs w:val="false"/>
                <w:color w:val="1B1B1F"/>
                <w:sz w:val="20"/>
                <w:szCs w:val="20"/>
              </w:rPr>
              <w:t xml:space="preserve">30-day controls audit; biennial re-review (see 90-Day Plan)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Microsoft Copilot Studio (platform)</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T2 (default per agent)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Head of AI &amp; Automation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Platform ready; agent-level intake required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 first agent submission</w:t>
            </w:r>
          </w:p>
        </w:tc>
      </w:tr>
      <w:tr>
        <w:tc>
          <w:tcPr>
            <w:tcMar>
              <w:top w:type="dxa" w:w="80"/>
              <w:left w:type="dxa" w:w="120"/>
              <w:bottom w:type="dxa" w:w="80"/>
              <w:right w:type="dxa" w:w="120"/>
            </w:tcMar>
          </w:tcPr>
          <w:p>
            <w:pPr>
              <w:spacing w:after="40"/>
              <w:jc w:val="left"/>
            </w:pPr>
            <w:r>
              <w:rPr>
                <w:b/>
                <w:bCs/>
                <w:color w:val="1B1B1F"/>
                <w:sz w:val="20"/>
                <w:szCs w:val="20"/>
              </w:rPr>
              <w:t xml:space="preserve">GitHub Copilot Enterprise (developer)</w:t>
            </w:r>
          </w:p>
        </w:tc>
        <w:tc>
          <w:tcPr>
            <w:tcMar>
              <w:top w:type="dxa" w:w="80"/>
              <w:left w:type="dxa" w:w="120"/>
              <w:bottom w:type="dxa" w:w="80"/>
              <w:right w:type="dxa" w:w="120"/>
            </w:tcMar>
          </w:tcPr>
          <w:p>
            <w:pPr>
              <w:spacing w:after="40"/>
              <w:jc w:val="center"/>
            </w:pPr>
            <w:r>
              <w:rPr>
                <w:b w:val="false"/>
                <w:bCs w:val="false"/>
                <w:color w:val="1B1B1F"/>
                <w:sz w:val="20"/>
                <w:szCs w:val="20"/>
              </w:rPr>
              <w:t xml:space="preserve">T2</w:t>
            </w:r>
          </w:p>
        </w:tc>
        <w:tc>
          <w:tcPr>
            <w:tcMar>
              <w:top w:type="dxa" w:w="80"/>
              <w:left w:type="dxa" w:w="120"/>
              <w:bottom w:type="dxa" w:w="80"/>
              <w:right w:type="dxa" w:w="120"/>
            </w:tcMar>
          </w:tcPr>
          <w:p>
            <w:pPr>
              <w:spacing w:after="40"/>
              <w:jc w:val="left"/>
            </w:pPr>
            <w:r>
              <w:rPr>
                <w:b w:val="false"/>
                <w:bCs w:val="false"/>
                <w:color w:val="1B1B1F"/>
                <w:sz w:val="20"/>
                <w:szCs w:val="20"/>
              </w:rPr>
              <w:t xml:space="preserve">Head of Engineering</w:t>
            </w:r>
          </w:p>
        </w:tc>
        <w:tc>
          <w:tcPr>
            <w:tcMar>
              <w:top w:type="dxa" w:w="80"/>
              <w:left w:type="dxa" w:w="120"/>
              <w:bottom w:type="dxa" w:w="80"/>
              <w:right w:type="dxa" w:w="120"/>
            </w:tcMar>
          </w:tcPr>
          <w:p>
            <w:pPr>
              <w:spacing w:after="40"/>
              <w:jc w:val="center"/>
            </w:pPr>
            <w:r>
              <w:rPr>
                <w:b w:val="false"/>
                <w:bCs w:val="false"/>
                <w:color w:val="1B1B1F"/>
                <w:sz w:val="20"/>
                <w:szCs w:val="20"/>
              </w:rPr>
              <w:t xml:space="preserve">Pilot (weeks 5-12)</w:t>
            </w:r>
          </w:p>
        </w:tc>
        <w:tc>
          <w:tcPr>
            <w:tcMar>
              <w:top w:type="dxa" w:w="80"/>
              <w:left w:type="dxa" w:w="120"/>
              <w:bottom w:type="dxa" w:w="80"/>
              <w:right w:type="dxa" w:w="120"/>
            </w:tcMar>
          </w:tcPr>
          <w:p>
            <w:pPr>
              <w:spacing w:after="40"/>
              <w:jc w:val="left"/>
            </w:pPr>
            <w:r>
              <w:rPr>
                <w:b w:val="false"/>
                <w:bCs w:val="false"/>
                <w:color w:val="1B1B1F"/>
                <w:sz w:val="20"/>
                <w:szCs w:val="20"/>
              </w:rPr>
              <w:t xml:space="preserve">Week-13 read-out</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Claude Code on Foundry (developer, parallel)</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T2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Head of AI &amp; Automation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Pilot (weeks 5-12)</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Week-13 read-out</w:t>
            </w:r>
          </w:p>
        </w:tc>
      </w:tr>
      <w:tr>
        <w:tc>
          <w:tcPr>
            <w:tcMar>
              <w:top w:type="dxa" w:w="80"/>
              <w:left w:type="dxa" w:w="120"/>
              <w:bottom w:type="dxa" w:w="80"/>
              <w:right w:type="dxa" w:w="120"/>
            </w:tcMar>
          </w:tcPr>
          <w:p>
            <w:pPr>
              <w:spacing w:after="40"/>
              <w:jc w:val="left"/>
            </w:pPr>
            <w:r>
              <w:rPr>
                <w:b/>
                <w:bCs/>
                <w:color w:val="1B1B1F"/>
                <w:sz w:val="20"/>
                <w:szCs w:val="20"/>
              </w:rPr>
              <w:t xml:space="preserve">Existing credit / fraud / AML models</w:t>
            </w:r>
          </w:p>
        </w:tc>
        <w:tc>
          <w:tcPr>
            <w:tcMar>
              <w:top w:type="dxa" w:w="80"/>
              <w:left w:type="dxa" w:w="120"/>
              <w:bottom w:type="dxa" w:w="80"/>
              <w:right w:type="dxa" w:w="120"/>
            </w:tcMar>
          </w:tcPr>
          <w:p>
            <w:pPr>
              <w:spacing w:after="40"/>
              <w:jc w:val="center"/>
            </w:pPr>
            <w:r>
              <w:rPr>
                <w:b w:val="false"/>
                <w:bCs w:val="false"/>
                <w:color w:val="1B1B1F"/>
                <w:sz w:val="20"/>
                <w:szCs w:val="20"/>
              </w:rPr>
              <w:t xml:space="preserve">T1</w:t>
            </w:r>
          </w:p>
        </w:tc>
        <w:tc>
          <w:tcPr>
            <w:tcMar>
              <w:top w:type="dxa" w:w="80"/>
              <w:left w:type="dxa" w:w="120"/>
              <w:bottom w:type="dxa" w:w="80"/>
              <w:right w:type="dxa" w:w="120"/>
            </w:tcMar>
          </w:tcPr>
          <w:p>
            <w:pPr>
              <w:spacing w:after="40"/>
              <w:jc w:val="left"/>
            </w:pPr>
            <w:r>
              <w:rPr>
                <w:b w:val="false"/>
                <w:bCs w:val="false"/>
                <w:color w:val="1B1B1F"/>
                <w:sz w:val="20"/>
                <w:szCs w:val="20"/>
              </w:rPr>
              <w:t xml:space="preserve">Per model</w:t>
            </w:r>
          </w:p>
        </w:tc>
        <w:tc>
          <w:tcPr>
            <w:tcMar>
              <w:top w:type="dxa" w:w="80"/>
              <w:left w:type="dxa" w:w="120"/>
              <w:bottom w:type="dxa" w:w="80"/>
              <w:right w:type="dxa" w:w="120"/>
            </w:tcMar>
          </w:tcPr>
          <w:p>
            <w:pPr>
              <w:spacing w:after="40"/>
              <w:jc w:val="center"/>
            </w:pPr>
            <w:r>
              <w:rPr>
                <w:b w:val="false"/>
                <w:bCs w:val="false"/>
                <w:color w:val="1B1B1F"/>
                <w:sz w:val="20"/>
                <w:szCs w:val="20"/>
              </w:rPr>
              <w:t xml:space="preserve">Migration to this framework in-flight</w:t>
            </w:r>
          </w:p>
        </w:tc>
        <w:tc>
          <w:tcPr>
            <w:tcMar>
              <w:top w:type="dxa" w:w="80"/>
              <w:left w:type="dxa" w:w="120"/>
              <w:bottom w:type="dxa" w:w="80"/>
              <w:right w:type="dxa" w:w="120"/>
            </w:tcMar>
          </w:tcPr>
          <w:p>
            <w:pPr>
              <w:spacing w:after="40"/>
              <w:jc w:val="left"/>
            </w:pPr>
            <w:r>
              <w:rPr>
                <w:b w:val="false"/>
                <w:bCs w:val="false"/>
                <w:color w:val="1B1B1F"/>
                <w:sz w:val="20"/>
                <w:szCs w:val="20"/>
              </w:rPr>
              <w:t xml:space="preserve">Per MRM schedule</w:t>
            </w:r>
          </w:p>
        </w:tc>
      </w:tr>
    </w:tbl>
    <w:p>
      <w:pPr>
        <w:pStyle w:val="Heading1"/>
        <w:spacing w:after="160" w:before="360"/>
      </w:pPr>
      <w:r>
        <w:rPr>
          <w:b/>
          <w:bCs/>
          <w:color w:val="1F3864"/>
          <w:sz w:val="30"/>
          <w:szCs w:val="30"/>
        </w:rPr>
        <w:t xml:space="preserve">Appendix D: Glossary and References</w:t>
      </w:r>
    </w:p>
    <w:p>
      <w:pPr>
        <w:pStyle w:val="Heading3"/>
        <w:spacing w:after="80" w:before="160"/>
      </w:pPr>
      <w:r>
        <w:rPr>
          <w:b/>
          <w:bCs/>
          <w:color w:val="1B1B1F"/>
          <w:sz w:val="22"/>
          <w:szCs w:val="22"/>
        </w:rPr>
        <w:t xml:space="preserve">Standards and frameworks referenced</w:t>
      </w:r>
    </w:p>
    <w:p>
      <w:pPr>
        <w:pStyle w:val="ListParagraph"/>
        <w:numPr>
          <w:ilvl w:val="0"/>
          <w:numId w:val="2"/>
        </w:numPr>
        <w:spacing w:after="80" w:line="280"/>
      </w:pPr>
      <w:r>
        <w:t xml:space="preserve">NIST AI Risk Management Framework (AI RMF 1.0) and Generative AI Profile.</w:t>
      </w:r>
    </w:p>
    <w:p>
      <w:pPr>
        <w:pStyle w:val="ListParagraph"/>
        <w:numPr>
          <w:ilvl w:val="0"/>
          <w:numId w:val="2"/>
        </w:numPr>
        <w:spacing w:after="80" w:line="280"/>
      </w:pPr>
      <w:r>
        <w:t xml:space="preserve">ISO/IEC 42001:2023 — AI management system requirements.</w:t>
      </w:r>
    </w:p>
    <w:p>
      <w:pPr>
        <w:pStyle w:val="ListParagraph"/>
        <w:numPr>
          <w:ilvl w:val="0"/>
          <w:numId w:val="2"/>
        </w:numPr>
        <w:spacing w:after="80" w:line="280"/>
      </w:pPr>
      <w:r>
        <w:t xml:space="preserve">ISO/IEC 23894:2023 — AI risk management.</w:t>
      </w:r>
    </w:p>
    <w:p>
      <w:pPr>
        <w:pStyle w:val="ListParagraph"/>
        <w:numPr>
          <w:ilvl w:val="0"/>
          <w:numId w:val="2"/>
        </w:numPr>
        <w:spacing w:after="80" w:line="280"/>
      </w:pPr>
      <w:r>
        <w:t xml:space="preserve">ISO/IEC 22989:2022 — AI concepts and terminology.</w:t>
      </w:r>
    </w:p>
    <w:p>
      <w:pPr>
        <w:pStyle w:val="ListParagraph"/>
        <w:numPr>
          <w:ilvl w:val="0"/>
          <w:numId w:val="2"/>
        </w:numPr>
        <w:spacing w:after="80" w:line="280"/>
      </w:pPr>
      <w:r>
        <w:t xml:space="preserve">EU AI Act (Regulation (EU) 2024/1689) — horizon-scan obligations.</w:t>
      </w:r>
    </w:p>
    <w:p>
      <w:pPr>
        <w:pStyle w:val="ListParagraph"/>
        <w:numPr>
          <w:ilvl w:val="0"/>
          <w:numId w:val="2"/>
        </w:numPr>
        <w:spacing w:after="80" w:line="280"/>
      </w:pPr>
      <w:r>
        <w:t xml:space="preserve">Federal Reserve SR 11-7 / OCC 2011-12 — Supervisory Guidance on Model Risk Management.</w:t>
      </w:r>
    </w:p>
    <w:p>
      <w:pPr>
        <w:pStyle w:val="ListParagraph"/>
        <w:numPr>
          <w:ilvl w:val="0"/>
          <w:numId w:val="2"/>
        </w:numPr>
        <w:spacing w:after="80" w:line="280"/>
      </w:pPr>
      <w:r>
        <w:t xml:space="preserve">Bank of England SS1/23 — Model risk management principles for banks.</w:t>
      </w:r>
    </w:p>
    <w:p>
      <w:pPr>
        <w:pStyle w:val="Heading3"/>
        <w:spacing w:after="80" w:before="160"/>
      </w:pPr>
      <w:r>
        <w:rPr>
          <w:b/>
          <w:bCs/>
          <w:color w:val="1B1B1F"/>
          <w:sz w:val="22"/>
          <w:szCs w:val="22"/>
        </w:rPr>
        <w:t xml:space="preserve">Local regulatory anchors</w:t>
      </w:r>
    </w:p>
    <w:p>
      <w:pPr>
        <w:pStyle w:val="ListParagraph"/>
        <w:numPr>
          <w:ilvl w:val="0"/>
          <w:numId w:val="2"/>
        </w:numPr>
        <w:spacing w:after="80" w:line="280"/>
      </w:pPr>
      <w:r>
        <w:t xml:space="preserve">Protection of Personal Information Act (POPIA, South Africa).</w:t>
      </w:r>
    </w:p>
    <w:p>
      <w:pPr>
        <w:pStyle w:val="ListParagraph"/>
        <w:numPr>
          <w:ilvl w:val="0"/>
          <w:numId w:val="2"/>
        </w:numPr>
        <w:spacing w:after="80" w:line="280"/>
      </w:pPr>
      <w:r>
        <w:t xml:space="preserve">Nigeria Data Protection Act 2023 (NDPA).</w:t>
      </w:r>
    </w:p>
    <w:p>
      <w:pPr>
        <w:pStyle w:val="ListParagraph"/>
        <w:numPr>
          <w:ilvl w:val="0"/>
          <w:numId w:val="2"/>
        </w:numPr>
        <w:spacing w:after="80" w:line="280"/>
      </w:pPr>
      <w:r>
        <w:t xml:space="preserve">Data Protection Act 2019 (Kenya, KDPA).</w:t>
      </w:r>
    </w:p>
    <w:p>
      <w:pPr>
        <w:pStyle w:val="ListParagraph"/>
        <w:numPr>
          <w:ilvl w:val="0"/>
          <w:numId w:val="2"/>
        </w:numPr>
        <w:spacing w:after="80" w:line="280"/>
      </w:pPr>
      <w:r>
        <w:t xml:space="preserve">Ghana Data Protection Act 2012.</w:t>
      </w:r>
    </w:p>
    <w:p>
      <w:pPr>
        <w:pStyle w:val="ListParagraph"/>
        <w:numPr>
          <w:ilvl w:val="0"/>
          <w:numId w:val="2"/>
        </w:numPr>
        <w:spacing w:after="80" w:line="280"/>
      </w:pPr>
      <w:r>
        <w:t xml:space="preserve">AU Convention on Cyber Security and Personal Data Protection (Malabo Convention).</w:t>
      </w:r>
    </w:p>
    <w:p>
      <w:pPr>
        <w:pStyle w:val="ListParagraph"/>
        <w:numPr>
          <w:ilvl w:val="0"/>
          <w:numId w:val="2"/>
        </w:numPr>
        <w:spacing w:after="80" w:line="280"/>
      </w:pPr>
      <w:r>
        <w:t xml:space="preserve">SARB / Prudential Authority positions on AI and model risk in banking (applied where relevant).</w:t>
      </w:r>
    </w:p>
    <w:p>
      <w:pPr>
        <w:pStyle w:val="ListParagraph"/>
        <w:numPr>
          <w:ilvl w:val="0"/>
          <w:numId w:val="2"/>
        </w:numPr>
        <w:spacing w:after="80" w:line="280"/>
      </w:pPr>
      <w:r>
        <w:t xml:space="preserve">CBN guidance on digital banking and emerging technologies (applied where relevant).</w:t>
      </w:r>
    </w:p>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Governance Framework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Governance Framework v1.0</dc:title>
  <dc:creator>Head of AI &amp; Automation</dc:creator>
  <cp:lastModifiedBy>Un-named</cp:lastModifiedBy>
  <cp:revision>1</cp:revision>
  <dcterms:created xsi:type="dcterms:W3CDTF">2026-04-22T15:30:23.071Z</dcterms:created>
  <dcterms:modified xsi:type="dcterms:W3CDTF">2026-04-22T15:30:23.072Z</dcterms:modified>
</cp:coreProperties>
</file>

<file path=docProps/custom.xml><?xml version="1.0" encoding="utf-8"?>
<Properties xmlns="http://schemas.openxmlformats.org/officeDocument/2006/custom-properties" xmlns:vt="http://schemas.openxmlformats.org/officeDocument/2006/docPropsVTypes"/>
</file>