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b/>
          <w:bCs/>
          <w:color w:val="1F3864"/>
          <w:sz w:val="44"/>
          <w:szCs w:val="44"/>
        </w:rPr>
        <w:t xml:space="preserve">AI Vendor &amp; Third-Party</w:t>
      </w:r>
    </w:p>
    <w:p>
      <w:pPr>
        <w:spacing w:after="60"/>
        <w:jc w:val="center"/>
      </w:pPr>
      <w:r>
        <w:rPr>
          <w:b/>
          <w:bCs/>
          <w:color w:val="0F1F44"/>
          <w:sz w:val="28"/>
          <w:szCs w:val="28"/>
        </w:rPr>
        <w:t xml:space="preserve">Due Diligence Questionnaire (DDQ)</w:t>
      </w:r>
    </w:p>
    <w:p>
      <w:pPr>
        <w:spacing w:after="40"/>
        <w:jc w:val="center"/>
      </w:pPr>
      <w:r>
        <w:rPr>
          <w:i/>
          <w:iCs/>
          <w:color w:val="5A5A66"/>
          <w:sz w:val="22"/>
          <w:szCs w:val="22"/>
        </w:rPr>
        <w:t xml:space="preserve">Fintech  •  Microsoft + AI Foundry  •  Africa</w:t>
      </w:r>
    </w:p>
    <w:p>
      <w:pPr>
        <w:spacing w:after="280"/>
        <w:jc w:val="center"/>
      </w:pPr>
      <w:r>
        <w:rPr>
          <w:color w:val="5A5A66"/>
          <w:sz w:val="20"/>
          <w:szCs w:val="20"/>
        </w:rPr>
        <w:t xml:space="preserve">Version 1.0  •  Owner: Head of AI &amp; Automation + CISO + DPO  •  Classification: Internal</w:t>
      </w:r>
    </w:p>
    <w:p>
      <w:pPr>
        <w:pBdr>
          <w:bottom w:val="single" w:color="D9D9D9" w:sz="8" w:space="1"/>
        </w:pBdr>
      </w:pP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0. Purpose and How to Use This DDQ</w:t>
      </w:r>
    </w:p>
    <w:p>
      <w:pPr>
        <w:spacing w:after="120" w:line="300"/>
      </w:pPr>
      <w:r>
        <w:t xml:space="preserve">This Questionnaire is used to assess any third-party product, service or component that uses artificial intelligence and that will touch the organisation's data, customers, systems or staff. It is required: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Before contracting with any new AI vendor.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At renewal of any existing AI vendor contract.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When an existing approved vendor introduces a new AI feature that materially affects how our data is processed.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When a non-AI vendor enables an AI feature in a product we already use (very common).</w:t>
      </w:r>
    </w:p>
    <w:p>
      <w:pPr>
        <w:spacing w:after="120" w:line="300"/>
      </w:pPr>
      <w:r>
        <w:t xml:space="preserve">It is co-owned by the AI &amp; Automation function, the CISO and the DPO. It feeds into the AI Use-Case Intake (where the vendor is part of a use case) and into the standard third-party risk-management process. Findings are summarised on the front page (§A) for sign-off; detail follows in §1–§10.</w:t>
      </w:r>
    </w:p>
    <w:p>
      <w:pPr>
        <w:pStyle w:val="Heading2"/>
        <w:spacing w:after="120" w:before="240"/>
      </w:pPr>
      <w:r>
        <w:rPr>
          <w:b/>
          <w:bCs/>
          <w:color w:val="0F1F44"/>
          <w:sz w:val="24"/>
          <w:szCs w:val="24"/>
        </w:rPr>
        <w:t xml:space="preserve">0.1 Scoring key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4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pct" w:w="86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2F7D4F"/>
                <w:sz w:val="20"/>
                <w:szCs w:val="20"/>
              </w:rPr>
              <w:t xml:space="preserve">G — Green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Vendor response satisfies our standard with documentary evidence.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E2A72E"/>
                <w:sz w:val="20"/>
                <w:szCs w:val="20"/>
              </w:rPr>
              <w:t xml:space="preserve">A — Amber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Partial — gap exists but is mitigable with contractual or operational controls; documented in findings.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B23A3A"/>
                <w:sz w:val="20"/>
                <w:szCs w:val="20"/>
              </w:rPr>
              <w:t xml:space="preserve">R — Red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Material gap — must be closed before contracting; or the vendor cannot be used for this scope.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N — N/A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Not applicable — explain why in the response field.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0F1F44"/>
          <w:sz w:val="24"/>
          <w:szCs w:val="24"/>
        </w:rPr>
        <w:t xml:space="preserve">0.2 Instructions for vendor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Provide written answers to every question; mark N/A only where a question genuinely does not apply (e.g. a question about model fine-tuning if the product does not allow it).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Attach evidence (certifications, policies, audit reports, architecture diagrams, white papers) and reference each by short ID in the Evidence column.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Where the AI feature is provided by a sub-processor (Azure OpenAI, Anthropic via API, OpenAI direct, Google Vertex, AWS Bedrock, etc.), answer for the sub-processor where indicated; do not assume.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Be explicit about regional differences. Where a control or commitment differs by deployment region, name the regions and explain.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Sign and date the cover-letter attestation that the responses are true and complete to the best of the vendor's knowledge.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A. Findings Summary (front page)</w:t>
      </w:r>
    </w:p>
    <w:p>
      <w:pPr>
        <w:spacing w:after="80"/>
      </w:pPr>
      <w:r>
        <w:rPr>
          <w:i/>
          <w:iCs/>
          <w:color w:val="5A5A66"/>
          <w:sz w:val="20"/>
          <w:szCs w:val="20"/>
        </w:rPr>
        <w:t xml:space="preserve">Completed by AI &amp; Automation after vendor responses are reviewed. This is the page senior stakeholders read first.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70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Vendor (legal name)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Product / service (and version)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Use case / business purpose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Linked AI use-case ID (if any)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UC-________________________________________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Highest data classification involved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Public / Internal / Confidential / Restricted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Sub-processors / model providers used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Sponsor (business)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Owner (AI &amp; Automation reviewer)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Date of assessment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Overall RAG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G / A / 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Recommendation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Approve / Approve with conditions / Reject / Defer (more information needed)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Conditions to closure (if Amber)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________________________________________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0F1F44"/>
          <w:sz w:val="24"/>
          <w:szCs w:val="24"/>
        </w:rPr>
        <w:t xml:space="preserve">A.1 Domain RAGs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60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pct" w:w="12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RAG</w:t>
            </w:r>
          </w:p>
        </w:tc>
        <w:tc>
          <w:tcPr>
            <w:tcW w:type="pct" w:w="22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Material findings (one line)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AI feature description and purpose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G / A / 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2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Data handling, residency and retention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G / A / R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Model and training transparency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G / A / 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4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Security and certifications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G / A / R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Privacy and data-protection compliance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G / A / 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6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Output reliability and safety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G / A / R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Bias, fairness and explainability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G / A / 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8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Vendor's own AI governance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G / A / R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Operational, support and incident response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G / A / 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10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Commercial, contractual and exit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G / A / R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________________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AI Feature Description and Purpose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pct" w:w="24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Vendor response</w:t>
            </w:r>
          </w:p>
        </w:tc>
        <w:tc>
          <w:tcPr>
            <w:tcW w:type="pct" w:w="12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Evidence ref</w:t>
            </w:r>
          </w:p>
        </w:tc>
        <w:tc>
          <w:tcPr>
            <w:tcW w:type="pct" w:w="8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1.1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Describe the AI feature (in plain English) and the business purpose it serves for our use case.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1.2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Is the AI feature optional in your product, or is it on by default? Can it be disabled at our tenant level?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1.3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Which functions does the AI feature perform? (e.g. classification, generation, summarisation, retrieval, decisioning, agentic action.)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1.4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What types of decision does the AI take or influence? Are any decisions taken without a human in the loop?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1.5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Which categories of our user (employees / customers / suppliers / regulators) interact with the AI feature directly or indirectly?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1.6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Does the AI feature execute actions on our behalf (e.g. sending communications, posting to systems, taking financial actions)? If so, what controls limit those actions?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1.7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Where does the AI feature appear in our user journey? Provide a flow / screenshots.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1.8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Are there any future planned changes to the AI feature in the next 12 months that we should know about?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Data Handling, Residency and Retention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pct" w:w="24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Vendor response</w:t>
            </w:r>
          </w:p>
        </w:tc>
        <w:tc>
          <w:tcPr>
            <w:tcW w:type="pct" w:w="12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Evidence ref</w:t>
            </w:r>
          </w:p>
        </w:tc>
        <w:tc>
          <w:tcPr>
            <w:tcW w:type="pct" w:w="8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2.1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What data of ours does the AI feature process at inference time? Distinguish prompts, retrieved content, metadata and telemetry.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2.2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Where is the data physically processed? Name the regions/data centres for each sub-processor.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2.3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Is there a contractual commitment that our data is not used to train your or any sub-processor's foundation models? Reference the clause.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2.4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Is our data segregated from other customers' data at rest and in transit? Describe the segregation model.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2.5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What is the default retention for prompts, completions and logs? Can we configure shorter retention or zero retention?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2.6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How is our data deleted on request and at contract end? Within what SLA?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2.7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Does your product support customer-managed encryption keys (CMK / BYOK) for data at rest?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2.8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Does the AI feature support data residency commitments aligned to South Africa, Nigeria, Kenya, Ghana? If yes, how?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2.9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Do you process data on behalf of any sub-processor outside of these regions? If yes, lawful basis and protections.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Model and Training Transparency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pct" w:w="24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Vendor response</w:t>
            </w:r>
          </w:p>
        </w:tc>
        <w:tc>
          <w:tcPr>
            <w:tcW w:type="pct" w:w="12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Evidence ref</w:t>
            </w:r>
          </w:p>
        </w:tc>
        <w:tc>
          <w:tcPr>
            <w:tcW w:type="pct" w:w="8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3.1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Which foundation model(s) underpin the AI feature? Specify provider, model name, version and major-update cadence.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3.2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Is the model shared across customers, or is a dedicated / fine-tuned instance available for our tenant?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3.3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If fine-tuning is used in your product or our deployment, what data is used to fine-tune? Where is fine-tuning data stored?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3.4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Do you provide a model card or system card for each model? Attach.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3.5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How are model versions communicated to customers ahead of time? What is the notice period?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3.6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How can we pin to a specific model version, and for how long?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3.7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Do you publish information on the training data sources for the underlying foundation models? What is known and what is acknowledged unknown?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3.8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Have model outputs been evaluated for accuracy, refusal behaviour, jailbreak resistance and toxicity? Provide methodology and results.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Security and Certifications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pct" w:w="24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Vendor response</w:t>
            </w:r>
          </w:p>
        </w:tc>
        <w:tc>
          <w:tcPr>
            <w:tcW w:type="pct" w:w="12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Evidence ref</w:t>
            </w:r>
          </w:p>
        </w:tc>
        <w:tc>
          <w:tcPr>
            <w:tcW w:type="pct" w:w="8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4.1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Provide your current ISO/IEC 27001 certificate, scope and Statement of Applicability.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4.2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Provide your most recent SOC 2 Type II report. Highlight any AI-relevant control objectives.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4.3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Are you ISO/IEC 42001 (AI management system) certified or in scope to be? Timeline.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4.4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How is access to the AI feature authenticated and authorised? Do you support our SSO via Entra ID and SCIM provisioning?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4.5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Do you support tenant isolation of model endpoints, private network connectivity (private endpoints, IP allow-listing)?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4.6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Describe the threat model you maintain for the AI feature, including prompt injection, data exfiltration and model extraction.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4.7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Have you experienced a security incident in the past 24 months affecting the AI feature, or its sub-processors? Provide a summary and remediation.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4.8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Do you red-team the AI feature? At what cadence and by whom (internal / external)?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4.9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How are detection and logging of abuse, jailbreak attempts and data-leakage events surfaced to customers?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Privacy and Data-Protection Compliance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pct" w:w="24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Vendor response</w:t>
            </w:r>
          </w:p>
        </w:tc>
        <w:tc>
          <w:tcPr>
            <w:tcW w:type="pct" w:w="12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Evidence ref</w:t>
            </w:r>
          </w:p>
        </w:tc>
        <w:tc>
          <w:tcPr>
            <w:tcW w:type="pct" w:w="8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5.1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Provide your DPA (data-processing agreement) and confirm it covers GDPR, POPIA, NDPA and KDPA equivalents.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5.2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Are you a data controller, processor or joint controller for the AI feature in our scope? Explain.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5.3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Provide a current sub-processor list for the AI feature. How are sub-processor changes notified to customers, and within what notice period?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5.4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How do you support our obligations to handle data-subject rights (access, correction, erasure) on data the AI feature has processed?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5.5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Have you completed a DPIA / TIA on the AI feature? Provide a summary.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5.6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How do you handle special-category personal data? Is processing of special-category data possible in our deployment, and under what controls?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5.7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Provide your latest privacy notice for the AI feature. How do you obtain consent where required?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5.8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How do you support breach notification obligations (POPIA, NDPA, KDPA, GDPR) — particularly the 72-hour clock?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Output Reliability and Safety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pct" w:w="24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Vendor response</w:t>
            </w:r>
          </w:p>
        </w:tc>
        <w:tc>
          <w:tcPr>
            <w:tcW w:type="pct" w:w="12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Evidence ref</w:t>
            </w:r>
          </w:p>
        </w:tc>
        <w:tc>
          <w:tcPr>
            <w:tcW w:type="pct" w:w="8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6.1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What accuracy, faithfulness or hallucination metrics do you measure on the AI feature? Provide methodology and recent values.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6.2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What guardrails are applied to outputs (content safety, refusal of harmful topics, citation grounding)? Are they configurable?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6.3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How does the AI feature behave when it does not know an answer (refuses, hedges, fabricates)? Provide examples.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6.4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Do you have a published list of topics or behaviours the AI feature will refuse? Is the refusal list configurable?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6.5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How do you measure and prevent prompt-injection / jailbreak success?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6.6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Do you provide telemetry on safety-filter triggers, refusal rates and unsafe outputs at tenant level?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6.7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What human-review or QA process do you operate over a sample of AI outputs?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6.8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Have any material output-quality regressions occurred in the past 12 months? Describe and explain how customers were notified.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7. Bias, Fairness and Explainability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pct" w:w="24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Vendor response</w:t>
            </w:r>
          </w:p>
        </w:tc>
        <w:tc>
          <w:tcPr>
            <w:tcW w:type="pct" w:w="12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Evidence ref</w:t>
            </w:r>
          </w:p>
        </w:tc>
        <w:tc>
          <w:tcPr>
            <w:tcW w:type="pct" w:w="8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7.1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Have you tested the AI feature for bias / disparate impact across demographic groups? Provide methodology and results.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7.2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Where the AI feature affects regulated decisions (credit, AML, hiring), what fairness measurements does it support?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7.3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What explainability mechanisms does the AI feature offer (e.g. citations, salient inputs, confidence scores)?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7.4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Can outputs be reviewed and overridden by a human prior to action? How is the override recorded?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7.5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Do you publish a model card / system card describing intended uses and known limitations?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7.6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What guidance do you provide to customers on out-of-scope uses, known limitations and required oversight?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8. Vendor's Own AI Governance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pct" w:w="24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Vendor response</w:t>
            </w:r>
          </w:p>
        </w:tc>
        <w:tc>
          <w:tcPr>
            <w:tcW w:type="pct" w:w="12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Evidence ref</w:t>
            </w:r>
          </w:p>
        </w:tc>
        <w:tc>
          <w:tcPr>
            <w:tcW w:type="pct" w:w="8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8.1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Describe your internal AI governance — committee, accountable executive, policies, frequency of review.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8.2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Are you aligned to NIST AI RMF, ISO/IEC 42001, ISO/IEC 23894? Provide evidence.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8.3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How do you classify and triage AI features by risk internally?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8.4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How are model changes, training-data changes and feature changes governed and communicated externally?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8.5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How do you handle AI-incident response? Do you publish an AI-incident process and disclose AI-relevant incidents to customers?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8.6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Do you support customer participation in red-team / abuse-test exercises on the AI feature in our deployment?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8.7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How do you stay current with EU AI Act, US executive-order requirements and African data-protection developments? Provide regulatory horizon-scan posture.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9. Operational, Support and Incident Response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pct" w:w="24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Vendor response</w:t>
            </w:r>
          </w:p>
        </w:tc>
        <w:tc>
          <w:tcPr>
            <w:tcW w:type="pct" w:w="12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Evidence ref</w:t>
            </w:r>
          </w:p>
        </w:tc>
        <w:tc>
          <w:tcPr>
            <w:tcW w:type="pct" w:w="8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9.1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Provide your SLA for the AI feature (availability, response time, support).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9.2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Describe the support model — tiers, hours, escalation path, named technical contact for our account.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9.3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What is your maintenance window policy for AI feature changes? Notice period to customers?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9.4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How are AI-feature incidents communicated to customers (channel, severity definitions, post-incident report timeline)?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9.5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What customer-facing telemetry / dashboards do you provide on usage, cost and safety events?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9.6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Provide your business-continuity and disaster-recovery posture for the AI feature, including recovery objectives.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10. Commercial, Contractual and Exit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pct" w:w="24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Vendor response</w:t>
            </w:r>
          </w:p>
        </w:tc>
        <w:tc>
          <w:tcPr>
            <w:tcW w:type="pct" w:w="12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Evidence ref</w:t>
            </w:r>
          </w:p>
        </w:tc>
        <w:tc>
          <w:tcPr>
            <w:tcW w:type="pct" w:w="8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10.1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Describe the pricing model (subscription, consumption, per-seat). What drives our cost? What committed minimums apply?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10.2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What contractual commitments do you offer on data ownership? Confirm we retain ownership of inputs and outputs for our use.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10.3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What contractual indemnities are available for IP infringement (model output that allegedly infringes a third-party copyright or other IP)?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10.4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What audit rights do we have? On-site, evidence-based or attestation-only?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10.5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On termination, how is our data returned and deleted, in what format and within what SLA?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10.6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Do you support a wind-down or transition-assistance period at end-of-contract?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10.7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Describe any current or pending litigation, regulatory action, or material customer dispute concerning the AI feature.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G / A / R / N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11. Sign-Off</w:t>
      </w:r>
    </w:p>
    <w:p>
      <w:pPr>
        <w:spacing w:after="120" w:line="300"/>
      </w:pPr>
      <w:r>
        <w:t xml:space="preserve">Findings are reviewed by AI &amp; Automation, CISO and DPO. Sign-off as follows: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30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pct" w:w="24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pct" w:w="16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AI &amp; Automation reviewer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________________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________________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CISO or deputy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________________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________________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DPO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________________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________________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General Counsel (if R or A on §10)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________________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________________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Council Chair (if presenting to Council)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________________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________________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____________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0F1F44"/>
          <w:sz w:val="24"/>
          <w:szCs w:val="24"/>
        </w:rPr>
        <w:t xml:space="preserve">11.1 Decision routing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All-Green: Chair-delegated approval; logged in vendor register; revisit at renewal.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Any Amber on §2 / §5 / §10: AI Council approval with conditions; tracked to closure.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Any Red anywhere: not approved as-is; vendor must remediate or scope must be reduced; re-assessed.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Where the vendor underpins a Tier 1 use case: ExCo notification regardless of RAG.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12. Lightweight DDQ for Low-Risk Vendors</w:t>
      </w:r>
    </w:p>
    <w:p>
      <w:pPr>
        <w:spacing w:after="120" w:line="300"/>
      </w:pPr>
      <w:r>
        <w:t xml:space="preserve">For vendors whose AI feature is incidental, processes only Public or Internal data, and is not part of a regulated process, a lightweight DDQ may be used in lieu of the full questionnaire — covering the §A summary plus questions 1.1–1.4, 2.1–2.3, 3.1, 4.1–4.2, 5.1–5.2, 9.1–9.2, 10.1, 10.5. Use of the lightweight version is at the discretion of the AI &amp; Automation reviewer and is logged.</w:t>
      </w:r>
    </w:p>
    <w:sectPr>
      <w:headerReference w:type="default" r:id="rId7"/>
      <w:footerReference w:type="default" r:id="rId8"/>
      <w:pgSz w:w="11906" w:h="16838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66"/>
        <w:sz w:val="18"/>
        <w:szCs w:val="18"/>
      </w:rPr>
      <w:t xml:space="preserve">Page </w:t>
    </w:r>
    <w:r>
      <w:rPr>
        <w:color w:val="5A5A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A5A66"/>
        <w:sz w:val="18"/>
        <w:szCs w:val="18"/>
      </w:rPr>
      <w:t xml:space="preserve"> of </w:t>
    </w:r>
    <w:r>
      <w:rPr>
        <w:color w:val="5A5A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5A66"/>
        <w:sz w:val="18"/>
        <w:szCs w:val="18"/>
      </w:rPr>
      <w:t xml:space="preserve">AI Vendor &amp; Third-Party DDQ  •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1B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160" w:before="36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pPr>
      <w:spacing w:after="120" w:before="240"/>
    </w:pPr>
    <w:rPr>
      <w:rFonts w:ascii="Calibri" w:cs="Calibri" w:eastAsia="Calibri" w:hAnsi="Calibri"/>
      <w:b/>
      <w:bCs/>
      <w:color w:val="0F1F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Vendor &amp; Third-Party Due Diligence Questionnaire v1.0</dc:title>
  <dc:creator>Head of AI &amp; Automation</dc:creator>
  <cp:lastModifiedBy>Un-named</cp:lastModifiedBy>
  <cp:revision>1</cp:revision>
  <dcterms:created xsi:type="dcterms:W3CDTF">2026-04-24T01:20:05.709Z</dcterms:created>
  <dcterms:modified xsi:type="dcterms:W3CDTF">2026-04-24T01:20:05.710Z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