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864"/>
          <w:sz w:val="48"/>
          <w:szCs w:val="48"/>
        </w:rPr>
        <w:t xml:space="preserve">GitHub Copilot Rollout Plan</w:t>
      </w:r>
    </w:p>
    <w:p>
      <w:pPr>
        <w:spacing w:after="60"/>
        <w:jc w:val="center"/>
      </w:pPr>
      <w:r>
        <w:rPr>
          <w:b/>
          <w:bCs/>
          <w:color w:val="0F1F44"/>
          <w:sz w:val="28"/>
          <w:szCs w:val="28"/>
        </w:rPr>
        <w:t xml:space="preserve">Pilot, Evaluate, Scale</w:t>
      </w:r>
    </w:p>
    <w:p>
      <w:pPr>
        <w:spacing w:after="40"/>
        <w:jc w:val="center"/>
      </w:pPr>
      <w:r>
        <w:rPr>
          <w:i/>
          <w:iCs/>
          <w:color w:val="5A5A66"/>
          <w:sz w:val="22"/>
          <w:szCs w:val="22"/>
        </w:rPr>
        <w:t xml:space="preserve">Fintech deployment  •  Under 200 developers  •  Microsoft &amp; AI Foundry stack</w:t>
      </w:r>
    </w:p>
    <w:p>
      <w:pPr>
        <w:spacing w:after="280"/>
        <w:jc w:val="center"/>
      </w:pPr>
      <w:r>
        <w:rPr>
          <w:color w:val="5A5A66"/>
          <w:sz w:val="20"/>
          <w:szCs w:val="20"/>
        </w:rPr>
        <w:t xml:space="preserve">Version 1.1  •  Head of AI &amp; Automation  •  Classification: Internal</w:t>
      </w:r>
    </w:p>
    <w:p>
      <w:pPr>
        <w:pBdr>
          <w:bottom w:val="single" w:color="D9D9D9" w:sz="8" w:space="1"/>
        </w:pBdr>
      </w:pPr>
    </w:p>
    <w:p>
      <w:pPr>
        <w:pStyle w:val="Heading1"/>
        <w:spacing w:after="160" w:before="360"/>
      </w:pPr>
      <w:r>
        <w:rPr>
          <w:b/>
          <w:bCs/>
          <w:color w:val="1F3864"/>
          <w:sz w:val="30"/>
          <w:szCs w:val="30"/>
        </w:rPr>
        <w:t xml:space="preserve">1. Executive Summary</w:t>
      </w:r>
    </w:p>
    <w:p>
      <w:pPr>
        <w:spacing w:after="120" w:line="300"/>
      </w:pPr>
      <w:r>
        <w:t xml:space="preserve">This plan sets out how we will roll out GitHub Copilot to our engineering organisation in a way that is safe, measurable, and defensible to the board, our regulators, and our customers. The intent is to unlock material developer-productivity gains while meeting the controls expected of a regulated fintech.</w:t>
      </w:r>
    </w:p>
    <w:p>
      <w:pPr>
        <w:spacing w:after="120" w:line="300"/>
      </w:pPr>
      <w:r>
        <w:t xml:space="preserve">We will adopt GitHub Copilot Enterprise as the standard developer-assistance tool. We will run an 8 to 12 week pilot with a single cohort of 40 to 60 engineers across one or two teams, measure outcomes against a defined baseline, and scale to the full engineering population (under 200 developers) over the following quarter.</w:t>
      </w:r>
    </w:p>
    <w:p>
      <w:pPr>
        <w:spacing w:after="120" w:line="300"/>
      </w:pPr>
      <w:r>
        <w:t xml:space="preserve">In parallel, we will run a second, smaller pilot of Claude Code on Microsoft Foundry against the same cohort and the same metrics, so that our choice of agentic coding tool is data-led rather than vendor-led. Claude models are now available through Microsoft Foundry under our existing Azure agreement (see Appendix C).</w:t>
      </w:r>
    </w:p>
    <w:p>
      <w:pPr>
        <w:spacing w:after="120" w:line="300"/>
      </w:pPr>
      <w:r>
        <w:t xml:space="preserve">The programme is sized for our footprint: one wave after the pilot is realistic, governance overhead is kept light, and the pilot doubles as our evidence base for the AI Council, risk function and external auditors.</w:t>
      </w:r>
    </w:p>
    <w:p>
      <w:pPr>
        <w:pStyle w:val="Heading2"/>
        <w:spacing w:after="120" w:before="240"/>
      </w:pPr>
      <w:r>
        <w:rPr>
          <w:b/>
          <w:bCs/>
          <w:color w:val="0F1F44"/>
          <w:sz w:val="24"/>
          <w:szCs w:val="24"/>
        </w:rPr>
        <w:t xml:space="preserve">1.1 Expected Outcomes</w:t>
      </w:r>
    </w:p>
    <w:p>
      <w:pPr>
        <w:pStyle w:val="ListParagraph"/>
        <w:numPr>
          <w:ilvl w:val="0"/>
          <w:numId w:val="2"/>
        </w:numPr>
        <w:spacing w:after="80" w:line="280"/>
      </w:pPr>
      <w:r>
        <w:t xml:space="preserve">15 to 30 percent increase in developer throughput, measured through PR velocity and cycle time, comparable with published industry results.</w:t>
      </w:r>
    </w:p>
    <w:p>
      <w:pPr>
        <w:pStyle w:val="ListParagraph"/>
        <w:numPr>
          <w:ilvl w:val="0"/>
          <w:numId w:val="2"/>
        </w:numPr>
        <w:spacing w:after="80" w:line="280"/>
      </w:pPr>
      <w:r>
        <w:t xml:space="preserve">Measurable reduction in time spent on boilerplate, repetitive tests, documentation and refactoring tasks.</w:t>
      </w:r>
    </w:p>
    <w:p>
      <w:pPr>
        <w:pStyle w:val="ListParagraph"/>
        <w:numPr>
          <w:ilvl w:val="0"/>
          <w:numId w:val="2"/>
        </w:numPr>
        <w:spacing w:after="80" w:line="280"/>
      </w:pPr>
      <w:r>
        <w:t xml:space="preserve">Improved onboarding: new-joiner time-to-first-PR reduced.</w:t>
      </w:r>
    </w:p>
    <w:p>
      <w:pPr>
        <w:pStyle w:val="ListParagraph"/>
        <w:numPr>
          <w:ilvl w:val="0"/>
          <w:numId w:val="2"/>
        </w:numPr>
        <w:spacing w:after="80" w:line="280"/>
      </w:pPr>
      <w:r>
        <w:t xml:space="preserve">Higher code-quality signal through integrated Copilot Code Review and Autofix on security findings.</w:t>
      </w:r>
    </w:p>
    <w:p>
      <w:pPr>
        <w:pStyle w:val="ListParagraph"/>
        <w:numPr>
          <w:ilvl w:val="0"/>
          <w:numId w:val="2"/>
        </w:numPr>
        <w:spacing w:after="80" w:line="280"/>
      </w:pPr>
      <w:r>
        <w:t xml:space="preserve">A documented head-to-head evaluation of GitHub Copilot Enterprise versus Claude Code on Foundry, so tool choice is evidence-based.</w:t>
      </w:r>
    </w:p>
    <w:p>
      <w:pPr>
        <w:pStyle w:val="ListParagraph"/>
        <w:numPr>
          <w:ilvl w:val="0"/>
          <w:numId w:val="2"/>
        </w:numPr>
        <w:spacing w:after="80" w:line="280"/>
      </w:pPr>
      <w:r>
        <w:t xml:space="preserve">Zero tolerance outcomes preserved: no incidents involving source-code exfiltration, no IP infringement events, no production incidents caused by AI-generated code reaching customers unreviewed.</w:t>
      </w:r>
    </w:p>
    <w:p>
      <w:pPr>
        <w:pStyle w:val="Heading1"/>
        <w:spacing w:after="160" w:before="360"/>
      </w:pPr>
      <w:r>
        <w:rPr>
          <w:b/>
          <w:bCs/>
          <w:color w:val="1F3864"/>
          <w:sz w:val="30"/>
          <w:szCs w:val="30"/>
        </w:rPr>
        <w:t xml:space="preserve">2. Licensing Decision</w:t>
      </w:r>
    </w:p>
    <w:p>
      <w:pPr>
        <w:spacing w:after="120" w:line="300"/>
      </w:pPr>
      <w:r>
        <w:t xml:space="preserve">GitHub Copilot is offered at several tiers. For a regulated fintech, Copilot Enterprise is the appropriate choice. The recommendation below explains why.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Capability</w:t>
            </w:r>
          </w:p>
        </w:tc>
        <w:tc>
          <w:tcPr>
            <w:tcW w:type="pct" w:w="18%"/>
            <w:shd w:fill="1F3864" w:color="auto" w:val="clear"/>
            <w:tcMar>
              <w:top w:type="dxa" w:w="80"/>
              <w:left w:type="dxa" w:w="120"/>
              <w:bottom w:type="dxa" w:w="80"/>
              <w:right w:type="dxa" w:w="120"/>
            </w:tcMar>
          </w:tcPr>
          <w:p>
            <w:pPr>
              <w:spacing w:after="40"/>
              <w:jc w:val="center"/>
            </w:pPr>
            <w:r>
              <w:rPr>
                <w:b/>
                <w:bCs/>
                <w:color w:val="FFFFFF"/>
                <w:sz w:val="20"/>
                <w:szCs w:val="20"/>
              </w:rPr>
              <w:t xml:space="preserve">Copilot Business</w:t>
            </w:r>
          </w:p>
        </w:tc>
        <w:tc>
          <w:tcPr>
            <w:tcW w:type="pct" w:w="22%"/>
            <w:shd w:fill="1F3864" w:color="auto" w:val="clear"/>
            <w:tcMar>
              <w:top w:type="dxa" w:w="80"/>
              <w:left w:type="dxa" w:w="120"/>
              <w:bottom w:type="dxa" w:w="80"/>
              <w:right w:type="dxa" w:w="120"/>
            </w:tcMar>
          </w:tcPr>
          <w:p>
            <w:pPr>
              <w:spacing w:after="40"/>
              <w:jc w:val="center"/>
            </w:pPr>
            <w:r>
              <w:rPr>
                <w:b/>
                <w:bCs/>
                <w:color w:val="FFFFFF"/>
                <w:sz w:val="20"/>
                <w:szCs w:val="20"/>
              </w:rPr>
              <w:t xml:space="preserve">Copilot Enterprise</w:t>
            </w:r>
          </w:p>
        </w:tc>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Why it matters</w:t>
            </w:r>
          </w:p>
        </w:tc>
      </w:tr>
      <w:tr>
        <w:tc>
          <w:tcPr>
            <w:tcMar>
              <w:top w:type="dxa" w:w="80"/>
              <w:left w:type="dxa" w:w="120"/>
              <w:bottom w:type="dxa" w:w="80"/>
              <w:right w:type="dxa" w:w="120"/>
            </w:tcMar>
          </w:tcPr>
          <w:p>
            <w:pPr>
              <w:spacing w:after="40"/>
              <w:jc w:val="left"/>
            </w:pPr>
            <w:r>
              <w:rPr>
                <w:b/>
                <w:bCs/>
                <w:color w:val="1B1B1F"/>
                <w:sz w:val="20"/>
                <w:szCs w:val="20"/>
              </w:rPr>
              <w:t xml:space="preserve">Inline code completion</w:t>
            </w:r>
          </w:p>
        </w:tc>
        <w:tc>
          <w:tcPr>
            <w:tcMar>
              <w:top w:type="dxa" w:w="80"/>
              <w:left w:type="dxa" w:w="120"/>
              <w:bottom w:type="dxa" w:w="80"/>
              <w:right w:type="dxa" w:w="120"/>
            </w:tcMar>
          </w:tcPr>
          <w:p>
            <w:pPr>
              <w:spacing w:after="40"/>
              <w:jc w:val="center"/>
            </w:pPr>
            <w:r>
              <w:rPr>
                <w:b w:val="false"/>
                <w:bCs w:val="false"/>
                <w:color w:val="1B1B1F"/>
                <w:sz w:val="20"/>
                <w:szCs w:val="20"/>
              </w:rPr>
              <w:t xml:space="preserve">Yes</w:t>
            </w:r>
          </w:p>
        </w:tc>
        <w:tc>
          <w:tcPr>
            <w:tcMar>
              <w:top w:type="dxa" w:w="80"/>
              <w:left w:type="dxa" w:w="120"/>
              <w:bottom w:type="dxa" w:w="80"/>
              <w:right w:type="dxa" w:w="120"/>
            </w:tcMar>
          </w:tcPr>
          <w:p>
            <w:pPr>
              <w:spacing w:after="40"/>
              <w:jc w:val="center"/>
            </w:pPr>
            <w:r>
              <w:rPr>
                <w:b w:val="false"/>
                <w:bCs w:val="false"/>
                <w:color w:val="1B1B1F"/>
                <w:sz w:val="20"/>
                <w:szCs w:val="20"/>
              </w:rPr>
              <w:t xml:space="preserve">Yes</w:t>
            </w:r>
          </w:p>
        </w:tc>
        <w:tc>
          <w:tcPr>
            <w:tcMar>
              <w:top w:type="dxa" w:w="80"/>
              <w:left w:type="dxa" w:w="120"/>
              <w:bottom w:type="dxa" w:w="80"/>
              <w:right w:type="dxa" w:w="120"/>
            </w:tcMar>
          </w:tcPr>
          <w:p>
            <w:pPr>
              <w:spacing w:after="40"/>
              <w:jc w:val="left"/>
            </w:pPr>
            <w:r>
              <w:rPr>
                <w:b w:val="false"/>
                <w:bCs w:val="false"/>
                <w:color w:val="1B1B1F"/>
                <w:sz w:val="20"/>
                <w:szCs w:val="20"/>
              </w:rPr>
              <w:t xml:space="preserve">Core productivity capability.</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Copilot Chat in IDE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Yes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Yes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Conversational assist on code, tests and fixes.</w:t>
            </w:r>
          </w:p>
        </w:tc>
      </w:tr>
      <w:tr>
        <w:tc>
          <w:tcPr>
            <w:tcMar>
              <w:top w:type="dxa" w:w="80"/>
              <w:left w:type="dxa" w:w="120"/>
              <w:bottom w:type="dxa" w:w="80"/>
              <w:right w:type="dxa" w:w="120"/>
            </w:tcMar>
          </w:tcPr>
          <w:p>
            <w:pPr>
              <w:spacing w:after="40"/>
              <w:jc w:val="left"/>
            </w:pPr>
            <w:r>
              <w:rPr>
                <w:b/>
                <w:bCs/>
                <w:color w:val="1B1B1F"/>
                <w:sz w:val="20"/>
                <w:szCs w:val="20"/>
              </w:rPr>
              <w:t xml:space="preserve">Repo-aware grounding</w:t>
            </w:r>
          </w:p>
        </w:tc>
        <w:tc>
          <w:tcPr>
            <w:tcMar>
              <w:top w:type="dxa" w:w="80"/>
              <w:left w:type="dxa" w:w="120"/>
              <w:bottom w:type="dxa" w:w="80"/>
              <w:right w:type="dxa" w:w="120"/>
            </w:tcMar>
          </w:tcPr>
          <w:p>
            <w:pPr>
              <w:spacing w:after="40"/>
              <w:jc w:val="center"/>
            </w:pPr>
            <w:r>
              <w:rPr>
                <w:b w:val="false"/>
                <w:bCs w:val="false"/>
                <w:color w:val="1B1B1F"/>
                <w:sz w:val="20"/>
                <w:szCs w:val="20"/>
              </w:rPr>
              <w:t xml:space="preserve">Limited</w:t>
            </w:r>
          </w:p>
        </w:tc>
        <w:tc>
          <w:tcPr>
            <w:tcMar>
              <w:top w:type="dxa" w:w="80"/>
              <w:left w:type="dxa" w:w="120"/>
              <w:bottom w:type="dxa" w:w="80"/>
              <w:right w:type="dxa" w:w="120"/>
            </w:tcMar>
          </w:tcPr>
          <w:p>
            <w:pPr>
              <w:spacing w:after="40"/>
              <w:jc w:val="center"/>
            </w:pPr>
            <w:r>
              <w:rPr>
                <w:b w:val="false"/>
                <w:bCs w:val="false"/>
                <w:color w:val="1B1B1F"/>
                <w:sz w:val="20"/>
                <w:szCs w:val="20"/>
              </w:rPr>
              <w:t xml:space="preserve">Full semantic indexing of private repos</w:t>
            </w:r>
          </w:p>
        </w:tc>
        <w:tc>
          <w:tcPr>
            <w:tcMar>
              <w:top w:type="dxa" w:w="80"/>
              <w:left w:type="dxa" w:w="120"/>
              <w:bottom w:type="dxa" w:w="80"/>
              <w:right w:type="dxa" w:w="120"/>
            </w:tcMar>
          </w:tcPr>
          <w:p>
            <w:pPr>
              <w:spacing w:after="40"/>
              <w:jc w:val="left"/>
            </w:pPr>
            <w:r>
              <w:rPr>
                <w:b w:val="false"/>
                <w:bCs w:val="false"/>
                <w:color w:val="1B1B1F"/>
                <w:sz w:val="20"/>
                <w:szCs w:val="20"/>
              </w:rPr>
              <w:t xml:space="preserve">Answers grounded in our own code, not internet generic patterns.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Knowledge bases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No</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Yes (internal docs, runbooks, ADRs)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Gives engineers answers from internal documentation inside the IDE.</w:t>
            </w:r>
          </w:p>
        </w:tc>
      </w:tr>
      <w:tr>
        <w:tc>
          <w:tcPr>
            <w:tcMar>
              <w:top w:type="dxa" w:w="80"/>
              <w:left w:type="dxa" w:w="120"/>
              <w:bottom w:type="dxa" w:w="80"/>
              <w:right w:type="dxa" w:w="120"/>
            </w:tcMar>
          </w:tcPr>
          <w:p>
            <w:pPr>
              <w:spacing w:after="40"/>
              <w:jc w:val="left"/>
            </w:pPr>
            <w:r>
              <w:rPr>
                <w:b/>
                <w:bCs/>
                <w:color w:val="1B1B1F"/>
                <w:sz w:val="20"/>
                <w:szCs w:val="20"/>
              </w:rPr>
              <w:t xml:space="preserve">Copilot Code Review</w:t>
            </w:r>
          </w:p>
        </w:tc>
        <w:tc>
          <w:tcPr>
            <w:tcMar>
              <w:top w:type="dxa" w:w="80"/>
              <w:left w:type="dxa" w:w="120"/>
              <w:bottom w:type="dxa" w:w="80"/>
              <w:right w:type="dxa" w:w="120"/>
            </w:tcMar>
          </w:tcPr>
          <w:p>
            <w:pPr>
              <w:spacing w:after="40"/>
              <w:jc w:val="center"/>
            </w:pPr>
            <w:r>
              <w:rPr>
                <w:b w:val="false"/>
                <w:bCs w:val="false"/>
                <w:color w:val="1B1B1F"/>
                <w:sz w:val="20"/>
                <w:szCs w:val="20"/>
              </w:rPr>
              <w:t xml:space="preserve">Available</w:t>
            </w:r>
          </w:p>
        </w:tc>
        <w:tc>
          <w:tcPr>
            <w:tcMar>
              <w:top w:type="dxa" w:w="80"/>
              <w:left w:type="dxa" w:w="120"/>
              <w:bottom w:type="dxa" w:w="80"/>
              <w:right w:type="dxa" w:w="120"/>
            </w:tcMar>
          </w:tcPr>
          <w:p>
            <w:pPr>
              <w:spacing w:after="40"/>
              <w:jc w:val="center"/>
            </w:pPr>
            <w:r>
              <w:rPr>
                <w:b w:val="false"/>
                <w:bCs w:val="false"/>
                <w:color w:val="1B1B1F"/>
                <w:sz w:val="20"/>
                <w:szCs w:val="20"/>
              </w:rPr>
              <w:t xml:space="preserve">Available with enterprise policies</w:t>
            </w:r>
          </w:p>
        </w:tc>
        <w:tc>
          <w:tcPr>
            <w:tcMar>
              <w:top w:type="dxa" w:w="80"/>
              <w:left w:type="dxa" w:w="120"/>
              <w:bottom w:type="dxa" w:w="80"/>
              <w:right w:type="dxa" w:w="120"/>
            </w:tcMar>
          </w:tcPr>
          <w:p>
            <w:pPr>
              <w:spacing w:after="40"/>
              <w:jc w:val="left"/>
            </w:pPr>
            <w:r>
              <w:rPr>
                <w:b w:val="false"/>
                <w:bCs w:val="false"/>
                <w:color w:val="1B1B1F"/>
                <w:sz w:val="20"/>
                <w:szCs w:val="20"/>
              </w:rPr>
              <w:t xml:space="preserve">Catches issues before human review on every PR.</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Copilot Autofix (with GHAS)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With GHAS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With GHAS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Suggests fixes for CodeQL findings inside the PR.</w:t>
            </w:r>
          </w:p>
        </w:tc>
      </w:tr>
      <w:tr>
        <w:tc>
          <w:tcPr>
            <w:tcMar>
              <w:top w:type="dxa" w:w="80"/>
              <w:left w:type="dxa" w:w="120"/>
              <w:bottom w:type="dxa" w:w="80"/>
              <w:right w:type="dxa" w:w="120"/>
            </w:tcMar>
          </w:tcPr>
          <w:p>
            <w:pPr>
              <w:spacing w:after="40"/>
              <w:jc w:val="left"/>
            </w:pPr>
            <w:r>
              <w:rPr>
                <w:b/>
                <w:bCs/>
                <w:color w:val="1B1B1F"/>
                <w:sz w:val="20"/>
                <w:szCs w:val="20"/>
              </w:rPr>
              <w:t xml:space="preserve">Custom instructions / fine-tuned models</w:t>
            </w:r>
          </w:p>
        </w:tc>
        <w:tc>
          <w:tcPr>
            <w:tcMar>
              <w:top w:type="dxa" w:w="80"/>
              <w:left w:type="dxa" w:w="120"/>
              <w:bottom w:type="dxa" w:w="80"/>
              <w:right w:type="dxa" w:w="120"/>
            </w:tcMar>
          </w:tcPr>
          <w:p>
            <w:pPr>
              <w:spacing w:after="40"/>
              <w:jc w:val="center"/>
            </w:pPr>
            <w:r>
              <w:rPr>
                <w:b w:val="false"/>
                <w:bCs w:val="false"/>
                <w:color w:val="1B1B1F"/>
                <w:sz w:val="20"/>
                <w:szCs w:val="20"/>
              </w:rPr>
              <w:t xml:space="preserve">No</w:t>
            </w:r>
          </w:p>
        </w:tc>
        <w:tc>
          <w:tcPr>
            <w:tcMar>
              <w:top w:type="dxa" w:w="80"/>
              <w:left w:type="dxa" w:w="120"/>
              <w:bottom w:type="dxa" w:w="80"/>
              <w:right w:type="dxa" w:w="120"/>
            </w:tcMar>
          </w:tcPr>
          <w:p>
            <w:pPr>
              <w:spacing w:after="40"/>
              <w:jc w:val="center"/>
            </w:pPr>
            <w:r>
              <w:rPr>
                <w:b w:val="false"/>
                <w:bCs w:val="false"/>
                <w:color w:val="1B1B1F"/>
                <w:sz w:val="20"/>
                <w:szCs w:val="20"/>
              </w:rPr>
              <w:t xml:space="preserve">Yes</w:t>
            </w:r>
          </w:p>
        </w:tc>
        <w:tc>
          <w:tcPr>
            <w:tcMar>
              <w:top w:type="dxa" w:w="80"/>
              <w:left w:type="dxa" w:w="120"/>
              <w:bottom w:type="dxa" w:w="80"/>
              <w:right w:type="dxa" w:w="120"/>
            </w:tcMar>
          </w:tcPr>
          <w:p>
            <w:pPr>
              <w:spacing w:after="40"/>
              <w:jc w:val="left"/>
            </w:pPr>
            <w:r>
              <w:rPr>
                <w:b w:val="false"/>
                <w:bCs w:val="false"/>
                <w:color w:val="1B1B1F"/>
                <w:sz w:val="20"/>
                <w:szCs w:val="20"/>
              </w:rPr>
              <w:t xml:space="preserve">Align suggestions with our coding standards and frameworks.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Content exclusions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Basic</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Granular at repo level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Block Copilot from reading sensitive repos (payments, secrets).</w:t>
            </w:r>
          </w:p>
        </w:tc>
      </w:tr>
      <w:tr>
        <w:tc>
          <w:tcPr>
            <w:tcMar>
              <w:top w:type="dxa" w:w="80"/>
              <w:left w:type="dxa" w:w="120"/>
              <w:bottom w:type="dxa" w:w="80"/>
              <w:right w:type="dxa" w:w="120"/>
            </w:tcMar>
          </w:tcPr>
          <w:p>
            <w:pPr>
              <w:spacing w:after="40"/>
              <w:jc w:val="left"/>
            </w:pPr>
            <w:r>
              <w:rPr>
                <w:b/>
                <w:bCs/>
                <w:color w:val="1B1B1F"/>
                <w:sz w:val="20"/>
                <w:szCs w:val="20"/>
              </w:rPr>
              <w:t xml:space="preserve">IP indemnification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Included</w:t>
            </w:r>
          </w:p>
        </w:tc>
        <w:tc>
          <w:tcPr>
            <w:tcMar>
              <w:top w:type="dxa" w:w="80"/>
              <w:left w:type="dxa" w:w="120"/>
              <w:bottom w:type="dxa" w:w="80"/>
              <w:right w:type="dxa" w:w="120"/>
            </w:tcMar>
          </w:tcPr>
          <w:p>
            <w:pPr>
              <w:spacing w:after="40"/>
              <w:jc w:val="center"/>
            </w:pPr>
            <w:r>
              <w:rPr>
                <w:b w:val="false"/>
                <w:bCs w:val="false"/>
                <w:color w:val="1B1B1F"/>
                <w:sz w:val="20"/>
                <w:szCs w:val="20"/>
              </w:rPr>
              <w:t xml:space="preserve">Included</w:t>
            </w:r>
          </w:p>
        </w:tc>
        <w:tc>
          <w:tcPr>
            <w:tcMar>
              <w:top w:type="dxa" w:w="80"/>
              <w:left w:type="dxa" w:w="120"/>
              <w:bottom w:type="dxa" w:w="80"/>
              <w:right w:type="dxa" w:w="120"/>
            </w:tcMar>
          </w:tcPr>
          <w:p>
            <w:pPr>
              <w:spacing w:after="40"/>
              <w:jc w:val="left"/>
            </w:pPr>
            <w:r>
              <w:rPr>
                <w:b w:val="false"/>
                <w:bCs w:val="false"/>
                <w:color w:val="1B1B1F"/>
                <w:sz w:val="20"/>
                <w:szCs w:val="20"/>
              </w:rPr>
              <w:t xml:space="preserve">Commercial cover when public-code filter is on.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Data handling: prompts used for training</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No</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No</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Confirm in writing; critical for fintech sign-off.</w:t>
            </w:r>
          </w:p>
        </w:tc>
      </w:tr>
      <w:tr>
        <w:tc>
          <w:tcPr>
            <w:tcMar>
              <w:top w:type="dxa" w:w="80"/>
              <w:left w:type="dxa" w:w="120"/>
              <w:bottom w:type="dxa" w:w="80"/>
              <w:right w:type="dxa" w:w="120"/>
            </w:tcMar>
          </w:tcPr>
          <w:p>
            <w:pPr>
              <w:spacing w:after="40"/>
              <w:jc w:val="left"/>
            </w:pPr>
            <w:r>
              <w:rPr>
                <w:b/>
                <w:bCs/>
                <w:color w:val="1B1B1F"/>
                <w:sz w:val="20"/>
                <w:szCs w:val="20"/>
              </w:rPr>
              <w:t xml:space="preserve">Audit API / admin reporting</w:t>
            </w:r>
          </w:p>
        </w:tc>
        <w:tc>
          <w:tcPr>
            <w:tcMar>
              <w:top w:type="dxa" w:w="80"/>
              <w:left w:type="dxa" w:w="120"/>
              <w:bottom w:type="dxa" w:w="80"/>
              <w:right w:type="dxa" w:w="120"/>
            </w:tcMar>
          </w:tcPr>
          <w:p>
            <w:pPr>
              <w:spacing w:after="40"/>
              <w:jc w:val="center"/>
            </w:pPr>
            <w:r>
              <w:rPr>
                <w:b w:val="false"/>
                <w:bCs w:val="false"/>
                <w:color w:val="1B1B1F"/>
                <w:sz w:val="20"/>
                <w:szCs w:val="20"/>
              </w:rPr>
              <w:t xml:space="preserve">Standard</w:t>
            </w:r>
          </w:p>
        </w:tc>
        <w:tc>
          <w:tcPr>
            <w:tcMar>
              <w:top w:type="dxa" w:w="80"/>
              <w:left w:type="dxa" w:w="120"/>
              <w:bottom w:type="dxa" w:w="80"/>
              <w:right w:type="dxa" w:w="120"/>
            </w:tcMar>
          </w:tcPr>
          <w:p>
            <w:pPr>
              <w:spacing w:after="40"/>
              <w:jc w:val="center"/>
            </w:pPr>
            <w:r>
              <w:rPr>
                <w:b w:val="false"/>
                <w:bCs w:val="false"/>
                <w:color w:val="1B1B1F"/>
                <w:sz w:val="20"/>
                <w:szCs w:val="20"/>
              </w:rPr>
              <w:t xml:space="preserve">Extended usage and adoption analytics</w:t>
            </w:r>
          </w:p>
        </w:tc>
        <w:tc>
          <w:tcPr>
            <w:tcMar>
              <w:top w:type="dxa" w:w="80"/>
              <w:left w:type="dxa" w:w="120"/>
              <w:bottom w:type="dxa" w:w="80"/>
              <w:right w:type="dxa" w:w="120"/>
            </w:tcMar>
          </w:tcPr>
          <w:p>
            <w:pPr>
              <w:spacing w:after="40"/>
              <w:jc w:val="left"/>
            </w:pPr>
            <w:r>
              <w:rPr>
                <w:b w:val="false"/>
                <w:bCs w:val="false"/>
                <w:color w:val="1B1B1F"/>
                <w:sz w:val="20"/>
                <w:szCs w:val="20"/>
              </w:rPr>
              <w:t xml:space="preserve">Needed for value-measurement and assurance evidence.</w:t>
            </w:r>
          </w:p>
        </w:tc>
      </w:tr>
    </w:tbl>
    <w:p>
      <w:pPr>
        <w:pStyle w:val="Heading2"/>
        <w:spacing w:after="120" w:before="240"/>
      </w:pPr>
      <w:r>
        <w:rPr>
          <w:b/>
          <w:bCs/>
          <w:color w:val="0F1F44"/>
          <w:sz w:val="24"/>
          <w:szCs w:val="24"/>
        </w:rPr>
        <w:t xml:space="preserve">2.1 Recommendation</w:t>
      </w:r>
    </w:p>
    <w:p>
      <w:pPr>
        <w:spacing w:after="120" w:line="300"/>
      </w:pPr>
      <w:r>
        <w:t xml:space="preserve">Procure Copilot Enterprise for the pilot cohort (40 to 60 seats) and scale to the full engineering population in the second wave. The delta versus Business is material: private-repo grounding, knowledge bases, custom instructions, granular content exclusion and richer analytics are the capabilities a regulated fintech needs to deploy AI responsibly and to evidence its value.</w:t>
      </w:r>
    </w:p>
    <w:p>
      <w:pPr>
        <w:spacing w:after="120" w:line="300"/>
      </w:pPr>
      <w:r>
        <w:t xml:space="preserve">GitHub Advanced Security (GHAS) should be procured in parallel to activate Copilot Autofix and to provide the secret-scanning and CodeQL controls that the AI Council will depend on.</w:t>
      </w:r>
    </w:p>
    <w:p>
      <w:pPr>
        <w:spacing w:after="120" w:line="300"/>
      </w:pPr>
      <w:r>
        <w:rPr>
          <w:b w:val="false"/>
          <w:bCs w:val="false"/>
        </w:rPr>
        <w:t xml:space="preserve">In parallel, run a smaller Claude Code on Microsoft Foundry pilot (10 to 15 seats) inside the same cohort. Claude is now available as a Foundry model under MACC, which removes the separate vendor onboarding burden. Appendix C sets out the structure, controls and decision criteria for that parallel track.</w:t>
      </w:r>
    </w:p>
    <w:p>
      <w:pPr>
        <w:pStyle w:val="Heading1"/>
        <w:spacing w:after="160" w:before="360"/>
      </w:pPr>
      <w:r>
        <w:rPr>
          <w:b/>
          <w:bCs/>
          <w:color w:val="1F3864"/>
          <w:sz w:val="30"/>
          <w:szCs w:val="30"/>
        </w:rPr>
        <w:t xml:space="preserve">3. Data, IP and Regulatory Configuration</w:t>
      </w:r>
    </w:p>
    <w:p>
      <w:pPr>
        <w:spacing w:after="120" w:line="300"/>
      </w:pPr>
      <w:r>
        <w:t xml:space="preserve">Before any seat is assigned, the following configuration and sign-offs must be in place. This is the non-negotiable baseline.</w:t>
      </w:r>
    </w:p>
    <w:p>
      <w:pPr>
        <w:pStyle w:val="Heading2"/>
        <w:spacing w:after="120" w:before="240"/>
      </w:pPr>
      <w:r>
        <w:rPr>
          <w:b/>
          <w:bCs/>
          <w:color w:val="0F1F44"/>
          <w:sz w:val="24"/>
          <w:szCs w:val="24"/>
        </w:rPr>
        <w:t xml:space="preserve">3.1 Tenant and Data Handling</w:t>
      </w:r>
    </w:p>
    <w:p>
      <w:pPr>
        <w:pStyle w:val="ListParagraph"/>
        <w:numPr>
          <w:ilvl w:val="0"/>
          <w:numId w:val="2"/>
        </w:numPr>
        <w:spacing w:after="80" w:line="280"/>
      </w:pPr>
      <w:r>
        <w:t xml:space="preserve">Enterprise-level policy: prompts, suggestions and usage data are not used to train foundation models. Documented in contract addendum.</w:t>
      </w:r>
    </w:p>
    <w:p>
      <w:pPr>
        <w:pStyle w:val="ListParagraph"/>
        <w:numPr>
          <w:ilvl w:val="0"/>
          <w:numId w:val="2"/>
        </w:numPr>
        <w:spacing w:after="80" w:line="280"/>
      </w:pPr>
      <w:r>
        <w:t xml:space="preserve">Residency: use a region that satisfies data-residency obligations in our markets. Where EU-hosted processing is required, enable the EU data residency option for GitHub Enterprise Cloud.</w:t>
      </w:r>
    </w:p>
    <w:p>
      <w:pPr>
        <w:pStyle w:val="ListParagraph"/>
        <w:numPr>
          <w:ilvl w:val="0"/>
          <w:numId w:val="2"/>
        </w:numPr>
        <w:spacing w:after="80" w:line="280"/>
      </w:pPr>
      <w:r>
        <w:t xml:space="preserve">Retention of prompt telemetry set to the minimum required to operate the service; audit-relevant events exported to our own log estate.</w:t>
      </w:r>
    </w:p>
    <w:p>
      <w:pPr>
        <w:pStyle w:val="ListParagraph"/>
        <w:numPr>
          <w:ilvl w:val="0"/>
          <w:numId w:val="2"/>
        </w:numPr>
        <w:spacing w:after="80" w:line="280"/>
      </w:pPr>
      <w:r>
        <w:t xml:space="preserve">Public-code matching filter ON at the organisation level. Enables IP indemnification.</w:t>
      </w:r>
    </w:p>
    <w:p>
      <w:pPr>
        <w:pStyle w:val="Heading2"/>
        <w:spacing w:after="120" w:before="240"/>
      </w:pPr>
      <w:r>
        <w:rPr>
          <w:b/>
          <w:bCs/>
          <w:color w:val="0F1F44"/>
          <w:sz w:val="24"/>
          <w:szCs w:val="24"/>
        </w:rPr>
        <w:t xml:space="preserve">3.2 Content Exclusions</w:t>
      </w:r>
    </w:p>
    <w:p>
      <w:pPr>
        <w:spacing w:after="120" w:line="300"/>
      </w:pPr>
      <w:r>
        <w:t xml:space="preserve">Copilot content exclusions are applied at repository level to prevent the extension from reading highly sensitive code paths:</w:t>
      </w:r>
    </w:p>
    <w:p>
      <w:pPr>
        <w:pStyle w:val="ListParagraph"/>
        <w:numPr>
          <w:ilvl w:val="0"/>
          <w:numId w:val="2"/>
        </w:numPr>
        <w:spacing w:after="80" w:line="280"/>
      </w:pPr>
      <w:r>
        <w:t xml:space="preserve">Repositories holding cryptographic keys, payment processing, fraud rules engines.</w:t>
      </w:r>
    </w:p>
    <w:p>
      <w:pPr>
        <w:pStyle w:val="ListParagraph"/>
        <w:numPr>
          <w:ilvl w:val="0"/>
          <w:numId w:val="2"/>
        </w:numPr>
        <w:spacing w:after="80" w:line="280"/>
      </w:pPr>
      <w:r>
        <w:t xml:space="preserve">Repositories holding model training scripts that reference customer data.</w:t>
      </w:r>
    </w:p>
    <w:p>
      <w:pPr>
        <w:pStyle w:val="ListParagraph"/>
        <w:numPr>
          <w:ilvl w:val="0"/>
          <w:numId w:val="2"/>
        </w:numPr>
        <w:spacing w:after="80" w:line="280"/>
      </w:pPr>
      <w:r>
        <w:t xml:space="preserve">Any repository labelled Restricted under the data-classification policy.</w:t>
      </w:r>
    </w:p>
    <w:p>
      <w:pPr>
        <w:pStyle w:val="Heading2"/>
        <w:spacing w:after="120" w:before="240"/>
      </w:pPr>
      <w:r>
        <w:rPr>
          <w:b/>
          <w:bCs/>
          <w:color w:val="0F1F44"/>
          <w:sz w:val="24"/>
          <w:szCs w:val="24"/>
        </w:rPr>
        <w:t xml:space="preserve">3.3 Identity and Access</w:t>
      </w:r>
    </w:p>
    <w:p>
      <w:pPr>
        <w:pStyle w:val="ListParagraph"/>
        <w:numPr>
          <w:ilvl w:val="0"/>
          <w:numId w:val="2"/>
        </w:numPr>
        <w:spacing w:after="80" w:line="280"/>
      </w:pPr>
      <w:r>
        <w:t xml:space="preserve">Copilot seats assigned via Entra ID groups, not individuals. One group per engineering domain.</w:t>
      </w:r>
    </w:p>
    <w:p>
      <w:pPr>
        <w:pStyle w:val="ListParagraph"/>
        <w:numPr>
          <w:ilvl w:val="0"/>
          <w:numId w:val="2"/>
        </w:numPr>
        <w:spacing w:after="80" w:line="280"/>
      </w:pPr>
      <w:r>
        <w:t xml:space="preserve">Conditional access on GitHub Enterprise Cloud login: compliant device, MFA, trusted location.</w:t>
      </w:r>
    </w:p>
    <w:p>
      <w:pPr>
        <w:pStyle w:val="ListParagraph"/>
        <w:numPr>
          <w:ilvl w:val="0"/>
          <w:numId w:val="2"/>
        </w:numPr>
        <w:spacing w:after="80" w:line="280"/>
      </w:pPr>
      <w:r>
        <w:t xml:space="preserve">Quarterly access review to reclaim unused seats.</w:t>
      </w:r>
    </w:p>
    <w:p>
      <w:pPr>
        <w:pStyle w:val="Heading2"/>
        <w:spacing w:after="120" w:before="240"/>
      </w:pPr>
      <w:r>
        <w:rPr>
          <w:b/>
          <w:bCs/>
          <w:color w:val="0F1F44"/>
          <w:sz w:val="24"/>
          <w:szCs w:val="24"/>
        </w:rPr>
        <w:t xml:space="preserve">3.4 Legal and Compliance Sign-off Checklist</w:t>
      </w:r>
    </w:p>
    <w:p>
      <w:pPr>
        <w:pStyle w:val="ListParagraph"/>
        <w:numPr>
          <w:ilvl w:val="0"/>
          <w:numId w:val="2"/>
        </w:numPr>
        <w:spacing w:after="80" w:line="280"/>
      </w:pPr>
      <w:r>
        <w:t xml:space="preserve">Data-Protection Impact Assessment completed under POPIA / NDPA / KDPA as applicable, signed by DPO.</w:t>
      </w:r>
    </w:p>
    <w:p>
      <w:pPr>
        <w:pStyle w:val="ListParagraph"/>
        <w:numPr>
          <w:ilvl w:val="0"/>
          <w:numId w:val="2"/>
        </w:numPr>
        <w:spacing w:after="80" w:line="280"/>
      </w:pPr>
      <w:r>
        <w:t xml:space="preserve">Vendor due-diligence renewed and GitHub onboarded through the third-party risk process.</w:t>
      </w:r>
    </w:p>
    <w:p>
      <w:pPr>
        <w:pStyle w:val="ListParagraph"/>
        <w:numPr>
          <w:ilvl w:val="0"/>
          <w:numId w:val="2"/>
        </w:numPr>
        <w:spacing w:after="80" w:line="280"/>
      </w:pPr>
      <w:r>
        <w:t xml:space="preserve">Acceptable-use policy for Copilot reviewed by Legal and acknowledged by each user.</w:t>
      </w:r>
    </w:p>
    <w:p>
      <w:pPr>
        <w:pStyle w:val="ListParagraph"/>
        <w:numPr>
          <w:ilvl w:val="0"/>
          <w:numId w:val="2"/>
        </w:numPr>
        <w:spacing w:after="80" w:line="280"/>
      </w:pPr>
      <w:r>
        <w:t xml:space="preserve">Model-risk owner appointed (Head of AI &amp; Automation) and Copilot entered in the AI use-case register.</w:t>
      </w:r>
    </w:p>
    <w:p>
      <w:pPr>
        <w:pStyle w:val="ListParagraph"/>
        <w:numPr>
          <w:ilvl w:val="0"/>
          <w:numId w:val="2"/>
        </w:numPr>
        <w:spacing w:after="80" w:line="280"/>
      </w:pPr>
      <w:r>
        <w:t xml:space="preserve">Works-council or employee-representation consultation completed where required.</w:t>
      </w:r>
    </w:p>
    <w:p>
      <w:pPr>
        <w:pStyle w:val="Heading1"/>
        <w:spacing w:after="160" w:before="360"/>
      </w:pPr>
      <w:r>
        <w:rPr>
          <w:b/>
          <w:bCs/>
          <w:color w:val="1F3864"/>
          <w:sz w:val="30"/>
          <w:szCs w:val="30"/>
        </w:rPr>
        <w:t xml:space="preserve">4. Pilot Design</w:t>
      </w:r>
    </w:p>
    <w:p>
      <w:pPr>
        <w:pStyle w:val="Heading2"/>
        <w:spacing w:after="120" w:before="240"/>
      </w:pPr>
      <w:r>
        <w:rPr>
          <w:b/>
          <w:bCs/>
          <w:color w:val="0F1F44"/>
          <w:sz w:val="24"/>
          <w:szCs w:val="24"/>
        </w:rPr>
        <w:t xml:space="preserve">4.1 Cohort Selection</w:t>
      </w:r>
    </w:p>
    <w:p>
      <w:pPr>
        <w:spacing w:after="120" w:line="300"/>
      </w:pPr>
      <w:r>
        <w:t xml:space="preserve">Pick a cohort that is big enough to produce a defensible signal but small enough to support hands-on. For an organisation under 200 engineers, 40 to 60 seats across one or two teams is the right size.</w:t>
      </w:r>
    </w:p>
    <w:p>
      <w:pPr>
        <w:pStyle w:val="ListParagraph"/>
        <w:numPr>
          <w:ilvl w:val="0"/>
          <w:numId w:val="2"/>
        </w:numPr>
        <w:spacing w:after="80" w:line="280"/>
      </w:pPr>
      <w:r>
        <w:t xml:space="preserve">One product team writing a mainstream language we support (for example Python or TypeScript backend).</w:t>
      </w:r>
    </w:p>
    <w:p>
      <w:pPr>
        <w:pStyle w:val="ListParagraph"/>
        <w:numPr>
          <w:ilvl w:val="0"/>
          <w:numId w:val="2"/>
        </w:numPr>
        <w:spacing w:after="80" w:line="280"/>
      </w:pPr>
      <w:r>
        <w:t xml:space="preserve">One platform or DevOps team whose work is a mix of IaC, pipelines and tooling.</w:t>
      </w:r>
    </w:p>
    <w:p>
      <w:pPr>
        <w:pStyle w:val="ListParagraph"/>
        <w:numPr>
          <w:ilvl w:val="0"/>
          <w:numId w:val="2"/>
        </w:numPr>
        <w:spacing w:after="80" w:line="280"/>
      </w:pPr>
      <w:r>
        <w:t xml:space="preserve">Representation across seniority: seniors stress-test limits, juniors reveal onboarding value, tech leads set norms.</w:t>
      </w:r>
    </w:p>
    <w:p>
      <w:pPr>
        <w:pStyle w:val="ListParagraph"/>
        <w:numPr>
          <w:ilvl w:val="0"/>
          <w:numId w:val="2"/>
        </w:numPr>
        <w:spacing w:after="80" w:line="280"/>
      </w:pPr>
      <w:r>
        <w:t xml:space="preserve">Exclude teams under active regulator remediation from the pilot; include them in wave 2.</w:t>
      </w:r>
    </w:p>
    <w:p>
      <w:pPr>
        <w:pStyle w:val="Heading2"/>
        <w:spacing w:after="120" w:before="240"/>
      </w:pPr>
      <w:r>
        <w:rPr>
          <w:b/>
          <w:bCs/>
          <w:color w:val="0F1F44"/>
          <w:sz w:val="24"/>
          <w:szCs w:val="24"/>
        </w:rPr>
        <w:t xml:space="preserve">4.2 Duration</w:t>
      </w:r>
    </w:p>
    <w:p>
      <w:pPr>
        <w:spacing w:after="120" w:line="300"/>
      </w:pPr>
      <w:r>
        <w:t xml:space="preserve">Eight weeks for measurement, plus a two-week warm-up and a two-week read-out. Twelve calendar weeks end to end.</w:t>
      </w:r>
    </w:p>
    <w:p>
      <w:pPr>
        <w:pStyle w:val="Heading2"/>
        <w:spacing w:after="120" w:before="240"/>
      </w:pPr>
      <w:r>
        <w:rPr>
          <w:b/>
          <w:bCs/>
          <w:color w:val="0F1F44"/>
          <w:sz w:val="24"/>
          <w:szCs w:val="24"/>
        </w:rPr>
        <w:t xml:space="preserve">4.3 Baseline Metrics</w:t>
      </w:r>
    </w:p>
    <w:p>
      <w:pPr>
        <w:spacing w:after="120" w:line="300"/>
      </w:pPr>
      <w:r>
        <w:t xml:space="preserve">Metrics are captured for four weeks before Copilot is switched on, from the same cohort, so that we are comparing like with like.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Metric</w:t>
            </w:r>
          </w:p>
        </w:tc>
        <w:tc>
          <w:tcPr>
            <w:tcW w:type="pct" w:w="34%"/>
            <w:shd w:fill="1F3864" w:color="auto" w:val="clear"/>
            <w:tcMar>
              <w:top w:type="dxa" w:w="80"/>
              <w:left w:type="dxa" w:w="120"/>
              <w:bottom w:type="dxa" w:w="80"/>
              <w:right w:type="dxa" w:w="120"/>
            </w:tcMar>
          </w:tcPr>
          <w:p>
            <w:pPr>
              <w:spacing w:after="40"/>
              <w:jc w:val="left"/>
            </w:pPr>
            <w:r>
              <w:rPr>
                <w:b/>
                <w:bCs/>
                <w:color w:val="FFFFFF"/>
                <w:sz w:val="20"/>
                <w:szCs w:val="20"/>
              </w:rPr>
              <w:t xml:space="preserve">Source</w:t>
            </w:r>
          </w:p>
        </w:tc>
        <w:tc>
          <w:tcPr>
            <w:tcW w:type="pct" w:w="36%"/>
            <w:shd w:fill="1F3864" w:color="auto" w:val="clear"/>
            <w:tcMar>
              <w:top w:type="dxa" w:w="80"/>
              <w:left w:type="dxa" w:w="120"/>
              <w:bottom w:type="dxa" w:w="80"/>
              <w:right w:type="dxa" w:w="120"/>
            </w:tcMar>
          </w:tcPr>
          <w:p>
            <w:pPr>
              <w:spacing w:after="40"/>
              <w:jc w:val="left"/>
            </w:pPr>
            <w:r>
              <w:rPr>
                <w:b/>
                <w:bCs/>
                <w:color w:val="FFFFFF"/>
                <w:sz w:val="20"/>
                <w:szCs w:val="20"/>
              </w:rPr>
              <w:t xml:space="preserve">What good looks like</w:t>
            </w:r>
          </w:p>
        </w:tc>
      </w:tr>
      <w:tr>
        <w:tc>
          <w:tcPr>
            <w:tcMar>
              <w:top w:type="dxa" w:w="80"/>
              <w:left w:type="dxa" w:w="120"/>
              <w:bottom w:type="dxa" w:w="80"/>
              <w:right w:type="dxa" w:w="120"/>
            </w:tcMar>
          </w:tcPr>
          <w:p>
            <w:pPr>
              <w:spacing w:after="40"/>
              <w:jc w:val="left"/>
            </w:pPr>
            <w:r>
              <w:rPr>
                <w:b/>
                <w:bCs/>
                <w:color w:val="1B1B1F"/>
                <w:sz w:val="20"/>
                <w:szCs w:val="20"/>
              </w:rPr>
              <w:t xml:space="preserve">Lead time for changes (DORA)</w:t>
            </w:r>
          </w:p>
        </w:tc>
        <w:tc>
          <w:tcPr>
            <w:tcMar>
              <w:top w:type="dxa" w:w="80"/>
              <w:left w:type="dxa" w:w="120"/>
              <w:bottom w:type="dxa" w:w="80"/>
              <w:right w:type="dxa" w:w="120"/>
            </w:tcMar>
          </w:tcPr>
          <w:p>
            <w:pPr>
              <w:spacing w:after="40"/>
              <w:jc w:val="left"/>
            </w:pPr>
            <w:r>
              <w:rPr>
                <w:b w:val="false"/>
                <w:bCs w:val="false"/>
                <w:color w:val="1B1B1F"/>
                <w:sz w:val="20"/>
                <w:szCs w:val="20"/>
              </w:rPr>
              <w:t xml:space="preserve">GitHub + deployment pipeline</w:t>
            </w:r>
          </w:p>
        </w:tc>
        <w:tc>
          <w:tcPr>
            <w:tcMar>
              <w:top w:type="dxa" w:w="80"/>
              <w:left w:type="dxa" w:w="120"/>
              <w:bottom w:type="dxa" w:w="80"/>
              <w:right w:type="dxa" w:w="120"/>
            </w:tcMar>
          </w:tcPr>
          <w:p>
            <w:pPr>
              <w:spacing w:after="40"/>
              <w:jc w:val="left"/>
            </w:pPr>
            <w:r>
              <w:rPr>
                <w:b w:val="false"/>
                <w:bCs w:val="false"/>
                <w:color w:val="1B1B1F"/>
                <w:sz w:val="20"/>
                <w:szCs w:val="20"/>
              </w:rPr>
              <w:t xml:space="preserve">Reduction vs. baseline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Deployment frequency (DORA)</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Deployment pipeline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Increase vs. baseline</w:t>
            </w:r>
          </w:p>
        </w:tc>
      </w:tr>
      <w:tr>
        <w:tc>
          <w:tcPr>
            <w:tcMar>
              <w:top w:type="dxa" w:w="80"/>
              <w:left w:type="dxa" w:w="120"/>
              <w:bottom w:type="dxa" w:w="80"/>
              <w:right w:type="dxa" w:w="120"/>
            </w:tcMar>
          </w:tcPr>
          <w:p>
            <w:pPr>
              <w:spacing w:after="40"/>
              <w:jc w:val="left"/>
            </w:pPr>
            <w:r>
              <w:rPr>
                <w:b/>
                <w:bCs/>
                <w:color w:val="1B1B1F"/>
                <w:sz w:val="20"/>
                <w:szCs w:val="20"/>
              </w:rPr>
              <w:t xml:space="preserve">Change failure rate (DORA)</w:t>
            </w:r>
          </w:p>
        </w:tc>
        <w:tc>
          <w:tcPr>
            <w:tcMar>
              <w:top w:type="dxa" w:w="80"/>
              <w:left w:type="dxa" w:w="120"/>
              <w:bottom w:type="dxa" w:w="80"/>
              <w:right w:type="dxa" w:w="120"/>
            </w:tcMar>
          </w:tcPr>
          <w:p>
            <w:pPr>
              <w:spacing w:after="40"/>
              <w:jc w:val="left"/>
            </w:pPr>
            <w:r>
              <w:rPr>
                <w:b w:val="false"/>
                <w:bCs w:val="false"/>
                <w:color w:val="1B1B1F"/>
                <w:sz w:val="20"/>
                <w:szCs w:val="20"/>
              </w:rPr>
              <w:t xml:space="preserve">Incident and rollback data</w:t>
            </w:r>
          </w:p>
        </w:tc>
        <w:tc>
          <w:tcPr>
            <w:tcMar>
              <w:top w:type="dxa" w:w="80"/>
              <w:left w:type="dxa" w:w="120"/>
              <w:bottom w:type="dxa" w:w="80"/>
              <w:right w:type="dxa" w:w="120"/>
            </w:tcMar>
          </w:tcPr>
          <w:p>
            <w:pPr>
              <w:spacing w:after="40"/>
              <w:jc w:val="left"/>
            </w:pPr>
            <w:r>
              <w:rPr>
                <w:b w:val="false"/>
                <w:bCs w:val="false"/>
                <w:color w:val="1B1B1F"/>
                <w:sz w:val="20"/>
                <w:szCs w:val="20"/>
              </w:rPr>
              <w:t xml:space="preserve">Flat or reduced</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Time to restore (DORA)</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Incident data</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Flat or reduced</w:t>
            </w:r>
          </w:p>
        </w:tc>
      </w:tr>
      <w:tr>
        <w:tc>
          <w:tcPr>
            <w:tcMar>
              <w:top w:type="dxa" w:w="80"/>
              <w:left w:type="dxa" w:w="120"/>
              <w:bottom w:type="dxa" w:w="80"/>
              <w:right w:type="dxa" w:w="120"/>
            </w:tcMar>
          </w:tcPr>
          <w:p>
            <w:pPr>
              <w:spacing w:after="40"/>
              <w:jc w:val="left"/>
            </w:pPr>
            <w:r>
              <w:rPr>
                <w:b/>
                <w:bCs/>
                <w:color w:val="1B1B1F"/>
                <w:sz w:val="20"/>
                <w:szCs w:val="20"/>
              </w:rPr>
              <w:t xml:space="preserve">PR throughput per engineer</w:t>
            </w:r>
          </w:p>
        </w:tc>
        <w:tc>
          <w:tcPr>
            <w:tcMar>
              <w:top w:type="dxa" w:w="80"/>
              <w:left w:type="dxa" w:w="120"/>
              <w:bottom w:type="dxa" w:w="80"/>
              <w:right w:type="dxa" w:w="120"/>
            </w:tcMar>
          </w:tcPr>
          <w:p>
            <w:pPr>
              <w:spacing w:after="40"/>
              <w:jc w:val="left"/>
            </w:pPr>
            <w:r>
              <w:rPr>
                <w:b w:val="false"/>
                <w:bCs w:val="false"/>
                <w:color w:val="1B1B1F"/>
                <w:sz w:val="20"/>
                <w:szCs w:val="20"/>
              </w:rPr>
              <w:t xml:space="preserve">GitHub</w:t>
            </w:r>
          </w:p>
        </w:tc>
        <w:tc>
          <w:tcPr>
            <w:tcMar>
              <w:top w:type="dxa" w:w="80"/>
              <w:left w:type="dxa" w:w="120"/>
              <w:bottom w:type="dxa" w:w="80"/>
              <w:right w:type="dxa" w:w="120"/>
            </w:tcMar>
          </w:tcPr>
          <w:p>
            <w:pPr>
              <w:spacing w:after="40"/>
              <w:jc w:val="left"/>
            </w:pPr>
            <w:r>
              <w:rPr>
                <w:b w:val="false"/>
                <w:bCs w:val="false"/>
                <w:color w:val="1B1B1F"/>
                <w:sz w:val="20"/>
                <w:szCs w:val="20"/>
              </w:rPr>
              <w:t xml:space="preserve">Increase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PR size (lines, files)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GitHub</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Stable or smaller</w:t>
            </w:r>
          </w:p>
        </w:tc>
      </w:tr>
      <w:tr>
        <w:tc>
          <w:tcPr>
            <w:tcMar>
              <w:top w:type="dxa" w:w="80"/>
              <w:left w:type="dxa" w:w="120"/>
              <w:bottom w:type="dxa" w:w="80"/>
              <w:right w:type="dxa" w:w="120"/>
            </w:tcMar>
          </w:tcPr>
          <w:p>
            <w:pPr>
              <w:spacing w:after="40"/>
              <w:jc w:val="left"/>
            </w:pPr>
            <w:r>
              <w:rPr>
                <w:b/>
                <w:bCs/>
                <w:color w:val="1B1B1F"/>
                <w:sz w:val="20"/>
                <w:szCs w:val="20"/>
              </w:rPr>
              <w:t xml:space="preserve">PR review time</w:t>
            </w:r>
          </w:p>
        </w:tc>
        <w:tc>
          <w:tcPr>
            <w:tcMar>
              <w:top w:type="dxa" w:w="80"/>
              <w:left w:type="dxa" w:w="120"/>
              <w:bottom w:type="dxa" w:w="80"/>
              <w:right w:type="dxa" w:w="120"/>
            </w:tcMar>
          </w:tcPr>
          <w:p>
            <w:pPr>
              <w:spacing w:after="40"/>
              <w:jc w:val="left"/>
            </w:pPr>
            <w:r>
              <w:rPr>
                <w:b w:val="false"/>
                <w:bCs w:val="false"/>
                <w:color w:val="1B1B1F"/>
                <w:sz w:val="20"/>
                <w:szCs w:val="20"/>
              </w:rPr>
              <w:t xml:space="preserve">GitHub</w:t>
            </w:r>
          </w:p>
        </w:tc>
        <w:tc>
          <w:tcPr>
            <w:tcMar>
              <w:top w:type="dxa" w:w="80"/>
              <w:left w:type="dxa" w:w="120"/>
              <w:bottom w:type="dxa" w:w="80"/>
              <w:right w:type="dxa" w:w="120"/>
            </w:tcMar>
          </w:tcPr>
          <w:p>
            <w:pPr>
              <w:spacing w:after="40"/>
              <w:jc w:val="left"/>
            </w:pPr>
            <w:r>
              <w:rPr>
                <w:b w:val="false"/>
                <w:bCs w:val="false"/>
                <w:color w:val="1B1B1F"/>
                <w:sz w:val="20"/>
                <w:szCs w:val="20"/>
              </w:rPr>
              <w:t xml:space="preserve">Reduction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Copilot suggestion acceptance rate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Copilot analytics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Greater than 25 percent</w:t>
            </w:r>
          </w:p>
        </w:tc>
      </w:tr>
      <w:tr>
        <w:tc>
          <w:tcPr>
            <w:tcMar>
              <w:top w:type="dxa" w:w="80"/>
              <w:left w:type="dxa" w:w="120"/>
              <w:bottom w:type="dxa" w:w="80"/>
              <w:right w:type="dxa" w:w="120"/>
            </w:tcMar>
          </w:tcPr>
          <w:p>
            <w:pPr>
              <w:spacing w:after="40"/>
              <w:jc w:val="left"/>
            </w:pPr>
            <w:r>
              <w:rPr>
                <w:b/>
                <w:bCs/>
                <w:color w:val="1B1B1F"/>
                <w:sz w:val="20"/>
                <w:szCs w:val="20"/>
              </w:rPr>
              <w:t xml:space="preserve">Copilot chat / code review usage</w:t>
            </w:r>
          </w:p>
        </w:tc>
        <w:tc>
          <w:tcPr>
            <w:tcMar>
              <w:top w:type="dxa" w:w="80"/>
              <w:left w:type="dxa" w:w="120"/>
              <w:bottom w:type="dxa" w:w="80"/>
              <w:right w:type="dxa" w:w="120"/>
            </w:tcMar>
          </w:tcPr>
          <w:p>
            <w:pPr>
              <w:spacing w:after="40"/>
              <w:jc w:val="left"/>
            </w:pPr>
            <w:r>
              <w:rPr>
                <w:b w:val="false"/>
                <w:bCs w:val="false"/>
                <w:color w:val="1B1B1F"/>
                <w:sz w:val="20"/>
                <w:szCs w:val="20"/>
              </w:rPr>
              <w:t xml:space="preserve">Copilot analytics</w:t>
            </w:r>
          </w:p>
        </w:tc>
        <w:tc>
          <w:tcPr>
            <w:tcMar>
              <w:top w:type="dxa" w:w="80"/>
              <w:left w:type="dxa" w:w="120"/>
              <w:bottom w:type="dxa" w:w="80"/>
              <w:right w:type="dxa" w:w="120"/>
            </w:tcMar>
          </w:tcPr>
          <w:p>
            <w:pPr>
              <w:spacing w:after="40"/>
              <w:jc w:val="left"/>
            </w:pPr>
            <w:r>
              <w:rPr>
                <w:b w:val="false"/>
                <w:bCs w:val="false"/>
                <w:color w:val="1B1B1F"/>
                <w:sz w:val="20"/>
                <w:szCs w:val="20"/>
              </w:rPr>
              <w:t xml:space="preserve">Greater than 60 percent of cohort weekly</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Time-saved per engineer per week</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Developer survey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Self-reported; triangulate with DORA</w:t>
            </w:r>
          </w:p>
        </w:tc>
      </w:tr>
      <w:tr>
        <w:tc>
          <w:tcPr>
            <w:tcMar>
              <w:top w:type="dxa" w:w="80"/>
              <w:left w:type="dxa" w:w="120"/>
              <w:bottom w:type="dxa" w:w="80"/>
              <w:right w:type="dxa" w:w="120"/>
            </w:tcMar>
          </w:tcPr>
          <w:p>
            <w:pPr>
              <w:spacing w:after="40"/>
              <w:jc w:val="left"/>
            </w:pPr>
            <w:r>
              <w:rPr>
                <w:b/>
                <w:bCs/>
                <w:color w:val="1B1B1F"/>
                <w:sz w:val="20"/>
                <w:szCs w:val="20"/>
              </w:rPr>
              <w:t xml:space="preserve">Developer experience (DX) score</w:t>
            </w:r>
          </w:p>
        </w:tc>
        <w:tc>
          <w:tcPr>
            <w:tcMar>
              <w:top w:type="dxa" w:w="80"/>
              <w:left w:type="dxa" w:w="120"/>
              <w:bottom w:type="dxa" w:w="80"/>
              <w:right w:type="dxa" w:w="120"/>
            </w:tcMar>
          </w:tcPr>
          <w:p>
            <w:pPr>
              <w:spacing w:after="40"/>
              <w:jc w:val="left"/>
            </w:pPr>
            <w:r>
              <w:rPr>
                <w:b w:val="false"/>
                <w:bCs w:val="false"/>
                <w:color w:val="1B1B1F"/>
                <w:sz w:val="20"/>
                <w:szCs w:val="20"/>
              </w:rPr>
              <w:t xml:space="preserve">Quarterly survey</w:t>
            </w:r>
          </w:p>
        </w:tc>
        <w:tc>
          <w:tcPr>
            <w:tcMar>
              <w:top w:type="dxa" w:w="80"/>
              <w:left w:type="dxa" w:w="120"/>
              <w:bottom w:type="dxa" w:w="80"/>
              <w:right w:type="dxa" w:w="120"/>
            </w:tcMar>
          </w:tcPr>
          <w:p>
            <w:pPr>
              <w:spacing w:after="40"/>
              <w:jc w:val="left"/>
            </w:pPr>
            <w:r>
              <w:rPr>
                <w:b w:val="false"/>
                <w:bCs w:val="false"/>
                <w:color w:val="1B1B1F"/>
                <w:sz w:val="20"/>
                <w:szCs w:val="20"/>
              </w:rPr>
              <w:t xml:space="preserve">Improvement vs. baseline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Secret scanning alerts on AI-written code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GHAS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Zero regressions</w:t>
            </w:r>
          </w:p>
        </w:tc>
      </w:tr>
      <w:tr>
        <w:tc>
          <w:tcPr>
            <w:tcMar>
              <w:top w:type="dxa" w:w="80"/>
              <w:left w:type="dxa" w:w="120"/>
              <w:bottom w:type="dxa" w:w="80"/>
              <w:right w:type="dxa" w:w="120"/>
            </w:tcMar>
          </w:tcPr>
          <w:p>
            <w:pPr>
              <w:spacing w:after="40"/>
              <w:jc w:val="left"/>
            </w:pPr>
            <w:r>
              <w:rPr>
                <w:b/>
                <w:bCs/>
                <w:color w:val="1B1B1F"/>
                <w:sz w:val="20"/>
                <w:szCs w:val="20"/>
              </w:rPr>
              <w:t xml:space="preserve">CodeQL findings per PR with AI content</w:t>
            </w:r>
          </w:p>
        </w:tc>
        <w:tc>
          <w:tcPr>
            <w:tcMar>
              <w:top w:type="dxa" w:w="80"/>
              <w:left w:type="dxa" w:w="120"/>
              <w:bottom w:type="dxa" w:w="80"/>
              <w:right w:type="dxa" w:w="120"/>
            </w:tcMar>
          </w:tcPr>
          <w:p>
            <w:pPr>
              <w:spacing w:after="40"/>
              <w:jc w:val="left"/>
            </w:pPr>
            <w:r>
              <w:rPr>
                <w:b w:val="false"/>
                <w:bCs w:val="false"/>
                <w:color w:val="1B1B1F"/>
                <w:sz w:val="20"/>
                <w:szCs w:val="20"/>
              </w:rPr>
              <w:t xml:space="preserve">GHAS</w:t>
            </w:r>
          </w:p>
        </w:tc>
        <w:tc>
          <w:tcPr>
            <w:tcMar>
              <w:top w:type="dxa" w:w="80"/>
              <w:left w:type="dxa" w:w="120"/>
              <w:bottom w:type="dxa" w:w="80"/>
              <w:right w:type="dxa" w:w="120"/>
            </w:tcMar>
          </w:tcPr>
          <w:p>
            <w:pPr>
              <w:spacing w:after="40"/>
              <w:jc w:val="left"/>
            </w:pPr>
            <w:r>
              <w:rPr>
                <w:b w:val="false"/>
                <w:bCs w:val="false"/>
                <w:color w:val="1B1B1F"/>
                <w:sz w:val="20"/>
                <w:szCs w:val="20"/>
              </w:rPr>
              <w:t xml:space="preserve">Flat or reduced</w:t>
            </w:r>
          </w:p>
        </w:tc>
      </w:tr>
    </w:tbl>
    <w:p>
      <w:pPr>
        <w:spacing w:after="80"/>
      </w:pPr>
      <w:r>
        <w:rPr>
          <w:i/>
          <w:iCs/>
          <w:color w:val="5A5A66"/>
          <w:sz w:val="20"/>
          <w:szCs w:val="20"/>
        </w:rPr>
        <w:t xml:space="preserve">Avoid lines-of-code as a metric. It rewards the wrong behaviour and is uncorrelated with value.</w:t>
      </w:r>
    </w:p>
    <w:p>
      <w:pPr>
        <w:pStyle w:val="Heading2"/>
        <w:spacing w:after="120" w:before="240"/>
      </w:pPr>
      <w:r>
        <w:rPr>
          <w:b/>
          <w:bCs/>
          <w:color w:val="0F1F44"/>
          <w:sz w:val="24"/>
          <w:szCs w:val="24"/>
        </w:rPr>
        <w:t xml:space="preserve">4.4 Pilot Governance</w:t>
      </w:r>
    </w:p>
    <w:p>
      <w:pPr>
        <w:pStyle w:val="ListParagraph"/>
        <w:numPr>
          <w:ilvl w:val="0"/>
          <w:numId w:val="2"/>
        </w:numPr>
        <w:spacing w:after="80" w:line="280"/>
      </w:pPr>
      <w:r>
        <w:t xml:space="preserve">Weekly pilot stand-up with engineering leads, AI &amp; Automation and Security.</w:t>
      </w:r>
    </w:p>
    <w:p>
      <w:pPr>
        <w:pStyle w:val="ListParagraph"/>
        <w:numPr>
          <w:ilvl w:val="0"/>
          <w:numId w:val="2"/>
        </w:numPr>
        <w:spacing w:after="80" w:line="280"/>
      </w:pPr>
      <w:r>
        <w:t xml:space="preserve">Bi-weekly AI Council update.</w:t>
      </w:r>
    </w:p>
    <w:p>
      <w:pPr>
        <w:pStyle w:val="ListParagraph"/>
        <w:numPr>
          <w:ilvl w:val="0"/>
          <w:numId w:val="2"/>
        </w:numPr>
        <w:spacing w:after="80" w:line="280"/>
      </w:pPr>
      <w:r>
        <w:t xml:space="preserve">Issue log covering quality concerns, IP concerns, and adoption friction.</w:t>
      </w:r>
    </w:p>
    <w:p>
      <w:pPr>
        <w:pStyle w:val="ListParagraph"/>
        <w:numPr>
          <w:ilvl w:val="0"/>
          <w:numId w:val="2"/>
        </w:numPr>
        <w:spacing w:after="80" w:line="280"/>
      </w:pPr>
      <w:r>
        <w:t xml:space="preserve">At week 8, formal read-out with recommendation: expand, continue pilot, or stop.</w:t>
      </w:r>
    </w:p>
    <w:p>
      <w:pPr>
        <w:pStyle w:val="Heading1"/>
        <w:spacing w:after="160" w:before="360"/>
      </w:pPr>
      <w:r>
        <w:rPr>
          <w:b/>
          <w:bCs/>
          <w:color w:val="1F3864"/>
          <w:sz w:val="30"/>
          <w:szCs w:val="30"/>
        </w:rPr>
        <w:t xml:space="preserve">5. Training and Enablement</w:t>
      </w:r>
    </w:p>
    <w:p>
      <w:pPr>
        <w:spacing w:after="120" w:line="300"/>
      </w:pPr>
      <w:r>
        <w:t xml:space="preserve">Training is tiered so that each audience gets what they actually need, and no one is forced to sit through material that is not relevant to their role.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20%"/>
            <w:shd w:fill="1F3864" w:color="auto" w:val="clear"/>
            <w:tcMar>
              <w:top w:type="dxa" w:w="80"/>
              <w:left w:type="dxa" w:w="120"/>
              <w:bottom w:type="dxa" w:w="80"/>
              <w:right w:type="dxa" w:w="120"/>
            </w:tcMar>
          </w:tcPr>
          <w:p>
            <w:pPr>
              <w:spacing w:after="40"/>
              <w:jc w:val="left"/>
            </w:pPr>
            <w:r>
              <w:rPr>
                <w:b/>
                <w:bCs/>
                <w:color w:val="FFFFFF"/>
                <w:sz w:val="20"/>
                <w:szCs w:val="20"/>
              </w:rPr>
              <w:t xml:space="preserve">Audience</w:t>
            </w:r>
          </w:p>
        </w:tc>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Format</w:t>
            </w:r>
          </w:p>
        </w:tc>
        <w:tc>
          <w:tcPr>
            <w:tcW w:type="pct" w:w="20%"/>
            <w:shd w:fill="1F3864" w:color="auto" w:val="clear"/>
            <w:tcMar>
              <w:top w:type="dxa" w:w="80"/>
              <w:left w:type="dxa" w:w="120"/>
              <w:bottom w:type="dxa" w:w="80"/>
              <w:right w:type="dxa" w:w="120"/>
            </w:tcMar>
          </w:tcPr>
          <w:p>
            <w:pPr>
              <w:spacing w:after="40"/>
              <w:jc w:val="left"/>
            </w:pPr>
            <w:r>
              <w:rPr>
                <w:b/>
                <w:bCs/>
                <w:color w:val="FFFFFF"/>
                <w:sz w:val="20"/>
                <w:szCs w:val="20"/>
              </w:rPr>
              <w:t xml:space="preserve">Duration</w:t>
            </w:r>
          </w:p>
        </w:tc>
        <w:tc>
          <w:tcPr>
            <w:tcW w:type="pct" w:w="34%"/>
            <w:shd w:fill="1F3864" w:color="auto" w:val="clear"/>
            <w:tcMar>
              <w:top w:type="dxa" w:w="80"/>
              <w:left w:type="dxa" w:w="120"/>
              <w:bottom w:type="dxa" w:w="80"/>
              <w:right w:type="dxa" w:w="120"/>
            </w:tcMar>
          </w:tcPr>
          <w:p>
            <w:pPr>
              <w:spacing w:after="40"/>
              <w:jc w:val="left"/>
            </w:pPr>
            <w:r>
              <w:rPr>
                <w:b/>
                <w:bCs/>
                <w:color w:val="FFFFFF"/>
                <w:sz w:val="20"/>
                <w:szCs w:val="20"/>
              </w:rPr>
              <w:t xml:space="preserve">Key outcomes</w:t>
            </w:r>
          </w:p>
        </w:tc>
      </w:tr>
      <w:tr>
        <w:tc>
          <w:tcPr>
            <w:tcMar>
              <w:top w:type="dxa" w:w="80"/>
              <w:left w:type="dxa" w:w="120"/>
              <w:bottom w:type="dxa" w:w="80"/>
              <w:right w:type="dxa" w:w="120"/>
            </w:tcMar>
          </w:tcPr>
          <w:p>
            <w:pPr>
              <w:spacing w:after="40"/>
              <w:jc w:val="left"/>
            </w:pPr>
            <w:r>
              <w:rPr>
                <w:b/>
                <w:bCs/>
                <w:color w:val="1B1B1F"/>
                <w:sz w:val="20"/>
                <w:szCs w:val="20"/>
              </w:rPr>
              <w:t xml:space="preserve">Engineers (pilot)</w:t>
            </w:r>
          </w:p>
        </w:tc>
        <w:tc>
          <w:tcPr>
            <w:tcMar>
              <w:top w:type="dxa" w:w="80"/>
              <w:left w:type="dxa" w:w="120"/>
              <w:bottom w:type="dxa" w:w="80"/>
              <w:right w:type="dxa" w:w="120"/>
            </w:tcMar>
          </w:tcPr>
          <w:p>
            <w:pPr>
              <w:spacing w:after="40"/>
              <w:jc w:val="left"/>
            </w:pPr>
            <w:r>
              <w:rPr>
                <w:b w:val="false"/>
                <w:bCs w:val="false"/>
                <w:color w:val="1B1B1F"/>
                <w:sz w:val="20"/>
                <w:szCs w:val="20"/>
              </w:rPr>
              <w:t xml:space="preserve">Hands-on workshop + paired sessions</w:t>
            </w:r>
          </w:p>
        </w:tc>
        <w:tc>
          <w:tcPr>
            <w:tcMar>
              <w:top w:type="dxa" w:w="80"/>
              <w:left w:type="dxa" w:w="120"/>
              <w:bottom w:type="dxa" w:w="80"/>
              <w:right w:type="dxa" w:w="120"/>
            </w:tcMar>
          </w:tcPr>
          <w:p>
            <w:pPr>
              <w:spacing w:after="40"/>
              <w:jc w:val="left"/>
            </w:pPr>
            <w:r>
              <w:rPr>
                <w:b w:val="false"/>
                <w:bCs w:val="false"/>
                <w:color w:val="1B1B1F"/>
                <w:sz w:val="20"/>
                <w:szCs w:val="20"/>
              </w:rPr>
              <w:t xml:space="preserve">Half-day + weekly clinics</w:t>
            </w:r>
          </w:p>
        </w:tc>
        <w:tc>
          <w:tcPr>
            <w:tcMar>
              <w:top w:type="dxa" w:w="80"/>
              <w:left w:type="dxa" w:w="120"/>
              <w:bottom w:type="dxa" w:w="80"/>
              <w:right w:type="dxa" w:w="120"/>
            </w:tcMar>
          </w:tcPr>
          <w:p>
            <w:pPr>
              <w:spacing w:after="40"/>
              <w:jc w:val="left"/>
            </w:pPr>
            <w:r>
              <w:rPr>
                <w:b w:val="false"/>
                <w:bCs w:val="false"/>
                <w:color w:val="1B1B1F"/>
                <w:sz w:val="20"/>
                <w:szCs w:val="20"/>
              </w:rPr>
              <w:t xml:space="preserve">Effective prompting, acceptance discipline, safe use patterns.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Engineering managers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Briefing</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90 minutes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How to read adoption analytics, what to do about it.</w:t>
            </w:r>
          </w:p>
        </w:tc>
      </w:tr>
      <w:tr>
        <w:tc>
          <w:tcPr>
            <w:tcMar>
              <w:top w:type="dxa" w:w="80"/>
              <w:left w:type="dxa" w:w="120"/>
              <w:bottom w:type="dxa" w:w="80"/>
              <w:right w:type="dxa" w:w="120"/>
            </w:tcMar>
          </w:tcPr>
          <w:p>
            <w:pPr>
              <w:spacing w:after="40"/>
              <w:jc w:val="left"/>
            </w:pPr>
            <w:r>
              <w:rPr>
                <w:b/>
                <w:bCs/>
                <w:color w:val="1B1B1F"/>
                <w:sz w:val="20"/>
                <w:szCs w:val="20"/>
              </w:rPr>
              <w:t xml:space="preserve">Security and Risk</w:t>
            </w:r>
          </w:p>
        </w:tc>
        <w:tc>
          <w:tcPr>
            <w:tcMar>
              <w:top w:type="dxa" w:w="80"/>
              <w:left w:type="dxa" w:w="120"/>
              <w:bottom w:type="dxa" w:w="80"/>
              <w:right w:type="dxa" w:w="120"/>
            </w:tcMar>
          </w:tcPr>
          <w:p>
            <w:pPr>
              <w:spacing w:after="40"/>
              <w:jc w:val="left"/>
            </w:pPr>
            <w:r>
              <w:rPr>
                <w:b w:val="false"/>
                <w:bCs w:val="false"/>
                <w:color w:val="1B1B1F"/>
                <w:sz w:val="20"/>
                <w:szCs w:val="20"/>
              </w:rPr>
              <w:t xml:space="preserve">Deep dive</w:t>
            </w:r>
          </w:p>
        </w:tc>
        <w:tc>
          <w:tcPr>
            <w:tcMar>
              <w:top w:type="dxa" w:w="80"/>
              <w:left w:type="dxa" w:w="120"/>
              <w:bottom w:type="dxa" w:w="80"/>
              <w:right w:type="dxa" w:w="120"/>
            </w:tcMar>
          </w:tcPr>
          <w:p>
            <w:pPr>
              <w:spacing w:after="40"/>
              <w:jc w:val="left"/>
            </w:pPr>
            <w:r>
              <w:rPr>
                <w:b w:val="false"/>
                <w:bCs w:val="false"/>
                <w:color w:val="1B1B1F"/>
                <w:sz w:val="20"/>
                <w:szCs w:val="20"/>
              </w:rPr>
              <w:t xml:space="preserve">Half-day</w:t>
            </w:r>
          </w:p>
        </w:tc>
        <w:tc>
          <w:tcPr>
            <w:tcMar>
              <w:top w:type="dxa" w:w="80"/>
              <w:left w:type="dxa" w:w="120"/>
              <w:bottom w:type="dxa" w:w="80"/>
              <w:right w:type="dxa" w:w="120"/>
            </w:tcMar>
          </w:tcPr>
          <w:p>
            <w:pPr>
              <w:spacing w:after="40"/>
              <w:jc w:val="left"/>
            </w:pPr>
            <w:r>
              <w:rPr>
                <w:b w:val="false"/>
                <w:bCs w:val="false"/>
                <w:color w:val="1B1B1F"/>
                <w:sz w:val="20"/>
                <w:szCs w:val="20"/>
              </w:rPr>
              <w:t xml:space="preserve">Controls, monitoring, incident response for AI-assisted code.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Legal / DPO</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Briefing</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60 minutes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IP position, DPIA artefacts, acceptable-use policy.</w:t>
            </w:r>
          </w:p>
        </w:tc>
      </w:tr>
      <w:tr>
        <w:tc>
          <w:tcPr>
            <w:tcMar>
              <w:top w:type="dxa" w:w="80"/>
              <w:left w:type="dxa" w:w="120"/>
              <w:bottom w:type="dxa" w:w="80"/>
              <w:right w:type="dxa" w:w="120"/>
            </w:tcMar>
          </w:tcPr>
          <w:p>
            <w:pPr>
              <w:spacing w:after="40"/>
              <w:jc w:val="left"/>
            </w:pPr>
            <w:r>
              <w:rPr>
                <w:b/>
                <w:bCs/>
                <w:color w:val="1B1B1F"/>
                <w:sz w:val="20"/>
                <w:szCs w:val="20"/>
              </w:rPr>
              <w:t xml:space="preserve">All engineers (wave 2)</w:t>
            </w:r>
          </w:p>
        </w:tc>
        <w:tc>
          <w:tcPr>
            <w:tcMar>
              <w:top w:type="dxa" w:w="80"/>
              <w:left w:type="dxa" w:w="120"/>
              <w:bottom w:type="dxa" w:w="80"/>
              <w:right w:type="dxa" w:w="120"/>
            </w:tcMar>
          </w:tcPr>
          <w:p>
            <w:pPr>
              <w:spacing w:after="40"/>
              <w:jc w:val="left"/>
            </w:pPr>
            <w:r>
              <w:rPr>
                <w:b w:val="false"/>
                <w:bCs w:val="false"/>
                <w:color w:val="1B1B1F"/>
                <w:sz w:val="20"/>
                <w:szCs w:val="20"/>
              </w:rPr>
              <w:t xml:space="preserve">Self-serve + live Q&amp;A</w:t>
            </w:r>
          </w:p>
        </w:tc>
        <w:tc>
          <w:tcPr>
            <w:tcMar>
              <w:top w:type="dxa" w:w="80"/>
              <w:left w:type="dxa" w:w="120"/>
              <w:bottom w:type="dxa" w:w="80"/>
              <w:right w:type="dxa" w:w="120"/>
            </w:tcMar>
          </w:tcPr>
          <w:p>
            <w:pPr>
              <w:spacing w:after="40"/>
              <w:jc w:val="left"/>
            </w:pPr>
            <w:r>
              <w:rPr>
                <w:b w:val="false"/>
                <w:bCs w:val="false"/>
                <w:color w:val="1B1B1F"/>
                <w:sz w:val="20"/>
                <w:szCs w:val="20"/>
              </w:rPr>
              <w:t xml:space="preserve">2 hours + support</w:t>
            </w:r>
          </w:p>
        </w:tc>
        <w:tc>
          <w:tcPr>
            <w:tcMar>
              <w:top w:type="dxa" w:w="80"/>
              <w:left w:type="dxa" w:w="120"/>
              <w:bottom w:type="dxa" w:w="80"/>
              <w:right w:type="dxa" w:w="120"/>
            </w:tcMar>
          </w:tcPr>
          <w:p>
            <w:pPr>
              <w:spacing w:after="40"/>
              <w:jc w:val="left"/>
            </w:pPr>
            <w:r>
              <w:rPr>
                <w:b w:val="false"/>
                <w:bCs w:val="false"/>
                <w:color w:val="1B1B1F"/>
                <w:sz w:val="20"/>
                <w:szCs w:val="20"/>
              </w:rPr>
              <w:t xml:space="preserve">Baseline capability across the organisation.</w:t>
            </w:r>
          </w:p>
        </w:tc>
      </w:tr>
    </w:tbl>
    <w:p>
      <w:pPr>
        <w:pStyle w:val="Heading2"/>
        <w:spacing w:after="120" w:before="240"/>
      </w:pPr>
      <w:r>
        <w:rPr>
          <w:b/>
          <w:bCs/>
          <w:color w:val="0F1F44"/>
          <w:sz w:val="24"/>
          <w:szCs w:val="24"/>
        </w:rPr>
        <w:t xml:space="preserve">5.1 Champion Network</w:t>
      </w:r>
    </w:p>
    <w:p>
      <w:pPr>
        <w:pStyle w:val="ListParagraph"/>
        <w:numPr>
          <w:ilvl w:val="0"/>
          <w:numId w:val="2"/>
        </w:numPr>
        <w:spacing w:after="80" w:line="280"/>
      </w:pPr>
      <w:r>
        <w:t xml:space="preserve">Three to five Copilot champions embedded in the pilot teams.</w:t>
      </w:r>
    </w:p>
    <w:p>
      <w:pPr>
        <w:pStyle w:val="ListParagraph"/>
        <w:numPr>
          <w:ilvl w:val="0"/>
          <w:numId w:val="2"/>
        </w:numPr>
        <w:spacing w:after="80" w:line="280"/>
      </w:pPr>
      <w:r>
        <w:t xml:space="preserve">They run weekly clinics, curate prompt patterns, and surface issues to the AI &amp; Automation function.</w:t>
      </w:r>
    </w:p>
    <w:p>
      <w:pPr>
        <w:pStyle w:val="ListParagraph"/>
        <w:numPr>
          <w:ilvl w:val="0"/>
          <w:numId w:val="2"/>
        </w:numPr>
        <w:spacing w:after="80" w:line="280"/>
      </w:pPr>
      <w:r>
        <w:t xml:space="preserve">Champions expand to one per team in wave 2.</w:t>
      </w:r>
    </w:p>
    <w:p>
      <w:pPr>
        <w:pStyle w:val="Heading1"/>
        <w:spacing w:after="160" w:before="360"/>
      </w:pPr>
      <w:r>
        <w:rPr>
          <w:b/>
          <w:bCs/>
          <w:color w:val="1F3864"/>
          <w:sz w:val="30"/>
          <w:szCs w:val="30"/>
        </w:rPr>
        <w:t xml:space="preserve">6. Acceptable Use Policy</w:t>
      </w:r>
    </w:p>
    <w:p>
      <w:pPr>
        <w:spacing w:after="120" w:line="300"/>
      </w:pPr>
      <w:r>
        <w:t xml:space="preserve">The acceptable-use policy is short and practical. Every Copilot user acknowledges it before seat assignment.</w:t>
      </w:r>
    </w:p>
    <w:p>
      <w:pPr>
        <w:pStyle w:val="Heading2"/>
        <w:spacing w:after="120" w:before="240"/>
      </w:pPr>
      <w:r>
        <w:rPr>
          <w:b/>
          <w:bCs/>
          <w:color w:val="0F1F44"/>
          <w:sz w:val="24"/>
          <w:szCs w:val="24"/>
        </w:rPr>
        <w:t xml:space="preserve">6.1 You may</w:t>
      </w:r>
    </w:p>
    <w:p>
      <w:pPr>
        <w:pStyle w:val="ListParagraph"/>
        <w:numPr>
          <w:ilvl w:val="0"/>
          <w:numId w:val="2"/>
        </w:numPr>
        <w:spacing w:after="80" w:line="280"/>
      </w:pPr>
      <w:r>
        <w:t xml:space="preserve">Use Copilot to write, refactor, test, document and review code inside approved repositories.</w:t>
      </w:r>
    </w:p>
    <w:p>
      <w:pPr>
        <w:pStyle w:val="ListParagraph"/>
        <w:numPr>
          <w:ilvl w:val="0"/>
          <w:numId w:val="2"/>
        </w:numPr>
        <w:spacing w:after="80" w:line="280"/>
      </w:pPr>
      <w:r>
        <w:t xml:space="preserve">Use Copilot Chat to explain code, generate tests, propose migrations and help with debugging.</w:t>
      </w:r>
    </w:p>
    <w:p>
      <w:pPr>
        <w:pStyle w:val="ListParagraph"/>
        <w:numPr>
          <w:ilvl w:val="0"/>
          <w:numId w:val="2"/>
        </w:numPr>
        <w:spacing w:after="80" w:line="280"/>
      </w:pPr>
      <w:r>
        <w:t xml:space="preserve">Use Copilot Code Review as an additional reviewer on pull requests.</w:t>
      </w:r>
    </w:p>
    <w:p>
      <w:pPr>
        <w:pStyle w:val="ListParagraph"/>
        <w:numPr>
          <w:ilvl w:val="0"/>
          <w:numId w:val="2"/>
        </w:numPr>
        <w:spacing w:after="80" w:line="280"/>
      </w:pPr>
      <w:r>
        <w:t xml:space="preserve">Use Claude Code on Microsoft Foundry for the same purposes if you are a member of the Claude Code pilot cohort (see Appendix C).</w:t>
      </w:r>
    </w:p>
    <w:p>
      <w:pPr>
        <w:pStyle w:val="Heading2"/>
        <w:spacing w:after="120" w:before="240"/>
      </w:pPr>
      <w:r>
        <w:rPr>
          <w:b/>
          <w:bCs/>
          <w:color w:val="0F1F44"/>
          <w:sz w:val="24"/>
          <w:szCs w:val="24"/>
        </w:rPr>
        <w:t xml:space="preserve">6.2 You must</w:t>
      </w:r>
    </w:p>
    <w:p>
      <w:pPr>
        <w:pStyle w:val="ListParagraph"/>
        <w:numPr>
          <w:ilvl w:val="0"/>
          <w:numId w:val="2"/>
        </w:numPr>
        <w:spacing w:after="80" w:line="280"/>
      </w:pPr>
      <w:r>
        <w:t xml:space="preserve">Treat every AI-generated suggestion as a draft. You are responsible for the code you merge.</w:t>
      </w:r>
    </w:p>
    <w:p>
      <w:pPr>
        <w:pStyle w:val="ListParagraph"/>
        <w:numPr>
          <w:ilvl w:val="0"/>
          <w:numId w:val="2"/>
        </w:numPr>
        <w:spacing w:after="80" w:line="280"/>
      </w:pPr>
      <w:r>
        <w:t xml:space="preserve">Run tests, linters and security scanners before merging.</w:t>
      </w:r>
    </w:p>
    <w:p>
      <w:pPr>
        <w:pStyle w:val="ListParagraph"/>
        <w:numPr>
          <w:ilvl w:val="0"/>
          <w:numId w:val="2"/>
        </w:numPr>
        <w:spacing w:after="80" w:line="280"/>
      </w:pPr>
      <w:r>
        <w:t xml:space="preserve">Apply the same review bar you would apply to a human colleague's code, or higher.</w:t>
      </w:r>
    </w:p>
    <w:p>
      <w:pPr>
        <w:pStyle w:val="ListParagraph"/>
        <w:numPr>
          <w:ilvl w:val="0"/>
          <w:numId w:val="2"/>
        </w:numPr>
        <w:spacing w:after="80" w:line="280"/>
      </w:pPr>
      <w:r>
        <w:t xml:space="preserve">Cite externally-sourced patterns appropriately and comply with licence obligations.</w:t>
      </w:r>
    </w:p>
    <w:p>
      <w:pPr>
        <w:pStyle w:val="Heading2"/>
        <w:spacing w:after="120" w:before="240"/>
      </w:pPr>
      <w:r>
        <w:rPr>
          <w:b/>
          <w:bCs/>
          <w:color w:val="0F1F44"/>
          <w:sz w:val="24"/>
          <w:szCs w:val="24"/>
        </w:rPr>
        <w:t xml:space="preserve">6.3 You must not</w:t>
      </w:r>
    </w:p>
    <w:p>
      <w:pPr>
        <w:pStyle w:val="ListParagraph"/>
        <w:numPr>
          <w:ilvl w:val="0"/>
          <w:numId w:val="2"/>
        </w:numPr>
        <w:spacing w:after="80" w:line="280"/>
      </w:pPr>
      <w:r>
        <w:t xml:space="preserve">Paste production customer data, secrets, or Restricted-classified content into Copilot Chat or Claude Code.</w:t>
      </w:r>
    </w:p>
    <w:p>
      <w:pPr>
        <w:pStyle w:val="ListParagraph"/>
        <w:numPr>
          <w:ilvl w:val="0"/>
          <w:numId w:val="2"/>
        </w:numPr>
        <w:spacing w:after="80" w:line="280"/>
      </w:pPr>
      <w:r>
        <w:t xml:space="preserve">Use Copilot or Claude Code to generate code that implements controls you are not authorised to change (for example fraud rules, AML logic).</w:t>
      </w:r>
    </w:p>
    <w:p>
      <w:pPr>
        <w:pStyle w:val="ListParagraph"/>
        <w:numPr>
          <w:ilvl w:val="0"/>
          <w:numId w:val="2"/>
        </w:numPr>
        <w:spacing w:after="80" w:line="280"/>
      </w:pPr>
      <w:r>
        <w:t xml:space="preserve">Bypass security scanners, code-review, or deployment controls because 'the AI said it was fine'.</w:t>
      </w:r>
    </w:p>
    <w:p>
      <w:pPr>
        <w:pStyle w:val="ListParagraph"/>
        <w:numPr>
          <w:ilvl w:val="0"/>
          <w:numId w:val="2"/>
        </w:numPr>
        <w:spacing w:after="80" w:line="280"/>
      </w:pPr>
      <w:r>
        <w:t xml:space="preserve">Use consumer AI services (ChatGPT, Gemini, Claude consumer apps) with company code. Use our sanctioned Copilot and Foundry paths instead — GitHub Copilot Enterprise or Claude on Microsoft Foundry are the only approved channels.</w:t>
      </w:r>
    </w:p>
    <w:p>
      <w:pPr>
        <w:pStyle w:val="Heading1"/>
        <w:spacing w:after="160" w:before="360"/>
      </w:pPr>
      <w:r>
        <w:rPr>
          <w:b/>
          <w:bCs/>
          <w:color w:val="1F3864"/>
          <w:sz w:val="30"/>
          <w:szCs w:val="30"/>
        </w:rPr>
        <w:t xml:space="preserve">7. Risks and Mitigations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Risk</w:t>
            </w:r>
          </w:p>
        </w:tc>
        <w:tc>
          <w:tcPr>
            <w:tcW w:type="pct" w:w="22%"/>
            <w:shd w:fill="1F3864" w:color="auto" w:val="clear"/>
            <w:tcMar>
              <w:top w:type="dxa" w:w="80"/>
              <w:left w:type="dxa" w:w="120"/>
              <w:bottom w:type="dxa" w:w="80"/>
              <w:right w:type="dxa" w:w="120"/>
            </w:tcMar>
          </w:tcPr>
          <w:p>
            <w:pPr>
              <w:spacing w:after="40"/>
              <w:jc w:val="center"/>
            </w:pPr>
            <w:r>
              <w:rPr>
                <w:b/>
                <w:bCs/>
                <w:color w:val="FFFFFF"/>
                <w:sz w:val="20"/>
                <w:szCs w:val="20"/>
              </w:rPr>
              <w:t xml:space="preserve">Likelihood / Impact</w:t>
            </w:r>
          </w:p>
        </w:tc>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Mitigation</w:t>
            </w:r>
          </w:p>
        </w:tc>
      </w:tr>
      <w:tr>
        <w:tc>
          <w:tcPr>
            <w:tcMar>
              <w:top w:type="dxa" w:w="80"/>
              <w:left w:type="dxa" w:w="120"/>
              <w:bottom w:type="dxa" w:w="80"/>
              <w:right w:type="dxa" w:w="120"/>
            </w:tcMar>
          </w:tcPr>
          <w:p>
            <w:pPr>
              <w:spacing w:after="40"/>
              <w:jc w:val="left"/>
            </w:pPr>
            <w:r>
              <w:rPr>
                <w:b/>
                <w:bCs/>
                <w:color w:val="1B1B1F"/>
                <w:sz w:val="20"/>
                <w:szCs w:val="20"/>
              </w:rPr>
              <w:t xml:space="preserve">Source-code exfiltration via suggestions grounded on sensitive repos</w:t>
            </w:r>
          </w:p>
        </w:tc>
        <w:tc>
          <w:tcPr>
            <w:tcMar>
              <w:top w:type="dxa" w:w="80"/>
              <w:left w:type="dxa" w:w="120"/>
              <w:bottom w:type="dxa" w:w="80"/>
              <w:right w:type="dxa" w:w="120"/>
            </w:tcMar>
          </w:tcPr>
          <w:p>
            <w:pPr>
              <w:spacing w:after="40"/>
              <w:jc w:val="center"/>
            </w:pPr>
            <w:r>
              <w:rPr>
                <w:b w:val="false"/>
                <w:bCs w:val="false"/>
                <w:color w:val="1B1B1F"/>
                <w:sz w:val="20"/>
                <w:szCs w:val="20"/>
              </w:rPr>
              <w:t xml:space="preserve">Low / High</w:t>
            </w:r>
          </w:p>
        </w:tc>
        <w:tc>
          <w:tcPr>
            <w:tcMar>
              <w:top w:type="dxa" w:w="80"/>
              <w:left w:type="dxa" w:w="120"/>
              <w:bottom w:type="dxa" w:w="80"/>
              <w:right w:type="dxa" w:w="120"/>
            </w:tcMar>
          </w:tcPr>
          <w:p>
            <w:pPr>
              <w:spacing w:after="40"/>
              <w:jc w:val="left"/>
            </w:pPr>
            <w:r>
              <w:rPr>
                <w:b w:val="false"/>
                <w:bCs w:val="false"/>
                <w:color w:val="1B1B1F"/>
                <w:sz w:val="20"/>
                <w:szCs w:val="20"/>
              </w:rPr>
              <w:t xml:space="preserve">Content exclusions on sensitive repos; repo-level access reviews; Defender audit of suggestion context.</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Hallucinated or insecure code merged to production</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Medium / Medium</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Mandatory review, GHAS + Autofix, CodeQL on every PR, test coverage thresholds.</w:t>
            </w:r>
          </w:p>
        </w:tc>
      </w:tr>
      <w:tr>
        <w:tc>
          <w:tcPr>
            <w:tcMar>
              <w:top w:type="dxa" w:w="80"/>
              <w:left w:type="dxa" w:w="120"/>
              <w:bottom w:type="dxa" w:w="80"/>
              <w:right w:type="dxa" w:w="120"/>
            </w:tcMar>
          </w:tcPr>
          <w:p>
            <w:pPr>
              <w:spacing w:after="40"/>
              <w:jc w:val="left"/>
            </w:pPr>
            <w:r>
              <w:rPr>
                <w:b/>
                <w:bCs/>
                <w:color w:val="1B1B1F"/>
                <w:sz w:val="20"/>
                <w:szCs w:val="20"/>
              </w:rPr>
              <w:t xml:space="preserve">IP contamination from open-source matches</w:t>
            </w:r>
          </w:p>
        </w:tc>
        <w:tc>
          <w:tcPr>
            <w:tcMar>
              <w:top w:type="dxa" w:w="80"/>
              <w:left w:type="dxa" w:w="120"/>
              <w:bottom w:type="dxa" w:w="80"/>
              <w:right w:type="dxa" w:w="120"/>
            </w:tcMar>
          </w:tcPr>
          <w:p>
            <w:pPr>
              <w:spacing w:after="40"/>
              <w:jc w:val="center"/>
            </w:pPr>
            <w:r>
              <w:rPr>
                <w:b w:val="false"/>
                <w:bCs w:val="false"/>
                <w:color w:val="1B1B1F"/>
                <w:sz w:val="20"/>
                <w:szCs w:val="20"/>
              </w:rPr>
              <w:t xml:space="preserve">Low / Medium</w:t>
            </w:r>
          </w:p>
        </w:tc>
        <w:tc>
          <w:tcPr>
            <w:tcMar>
              <w:top w:type="dxa" w:w="80"/>
              <w:left w:type="dxa" w:w="120"/>
              <w:bottom w:type="dxa" w:w="80"/>
              <w:right w:type="dxa" w:w="120"/>
            </w:tcMar>
          </w:tcPr>
          <w:p>
            <w:pPr>
              <w:spacing w:after="40"/>
              <w:jc w:val="left"/>
            </w:pPr>
            <w:r>
              <w:rPr>
                <w:b w:val="false"/>
                <w:bCs w:val="false"/>
                <w:color w:val="1B1B1F"/>
                <w:sz w:val="20"/>
                <w:szCs w:val="20"/>
              </w:rPr>
              <w:t xml:space="preserve">Public-code matching filter ON, indemnification in contract, developer training on licence awareness.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Over-reliance leading to skills atrophy</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Medium / Medium</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Guidance against using Copilot for foundational learning; periodic no-Copilot pairing; mentorship emphasis.</w:t>
            </w:r>
          </w:p>
        </w:tc>
      </w:tr>
      <w:tr>
        <w:tc>
          <w:tcPr>
            <w:tcMar>
              <w:top w:type="dxa" w:w="80"/>
              <w:left w:type="dxa" w:w="120"/>
              <w:bottom w:type="dxa" w:w="80"/>
              <w:right w:type="dxa" w:w="120"/>
            </w:tcMar>
          </w:tcPr>
          <w:p>
            <w:pPr>
              <w:spacing w:after="40"/>
              <w:jc w:val="left"/>
            </w:pPr>
            <w:r>
              <w:rPr>
                <w:b/>
                <w:bCs/>
                <w:color w:val="1B1B1F"/>
                <w:sz w:val="20"/>
                <w:szCs w:val="20"/>
              </w:rPr>
              <w:t xml:space="preserve">Uneven adoption masking ROI</w:t>
            </w:r>
          </w:p>
        </w:tc>
        <w:tc>
          <w:tcPr>
            <w:tcMar>
              <w:top w:type="dxa" w:w="80"/>
              <w:left w:type="dxa" w:w="120"/>
              <w:bottom w:type="dxa" w:w="80"/>
              <w:right w:type="dxa" w:w="120"/>
            </w:tcMar>
          </w:tcPr>
          <w:p>
            <w:pPr>
              <w:spacing w:after="40"/>
              <w:jc w:val="center"/>
            </w:pPr>
            <w:r>
              <w:rPr>
                <w:b w:val="false"/>
                <w:bCs w:val="false"/>
                <w:color w:val="1B1B1F"/>
                <w:sz w:val="20"/>
                <w:szCs w:val="20"/>
              </w:rPr>
              <w:t xml:space="preserve">Medium / Low</w:t>
            </w:r>
          </w:p>
        </w:tc>
        <w:tc>
          <w:tcPr>
            <w:tcMar>
              <w:top w:type="dxa" w:w="80"/>
              <w:left w:type="dxa" w:w="120"/>
              <w:bottom w:type="dxa" w:w="80"/>
              <w:right w:type="dxa" w:w="120"/>
            </w:tcMar>
          </w:tcPr>
          <w:p>
            <w:pPr>
              <w:spacing w:after="40"/>
              <w:jc w:val="left"/>
            </w:pPr>
            <w:r>
              <w:rPr>
                <w:b w:val="false"/>
                <w:bCs w:val="false"/>
                <w:color w:val="1B1B1F"/>
                <w:sz w:val="20"/>
                <w:szCs w:val="20"/>
              </w:rPr>
              <w:t xml:space="preserve">Adoption analytics by team; champions; clinics; manager dashboards.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Regulator or auditor inquiry into AI-assisted development</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Medium / Medium</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Registered use case, DPIA, documented controls, audit trail via GitHub audit API.</w:t>
            </w:r>
          </w:p>
        </w:tc>
      </w:tr>
      <w:tr>
        <w:tc>
          <w:tcPr>
            <w:tcMar>
              <w:top w:type="dxa" w:w="80"/>
              <w:left w:type="dxa" w:w="120"/>
              <w:bottom w:type="dxa" w:w="80"/>
              <w:right w:type="dxa" w:w="120"/>
            </w:tcMar>
          </w:tcPr>
          <w:p>
            <w:pPr>
              <w:spacing w:after="40"/>
              <w:jc w:val="left"/>
            </w:pPr>
            <w:r>
              <w:rPr>
                <w:b/>
                <w:bCs/>
                <w:color w:val="1B1B1F"/>
                <w:sz w:val="20"/>
                <w:szCs w:val="20"/>
              </w:rPr>
              <w:t xml:space="preserve">Vendor concentration and change risk</w:t>
            </w:r>
          </w:p>
        </w:tc>
        <w:tc>
          <w:tcPr>
            <w:tcMar>
              <w:top w:type="dxa" w:w="80"/>
              <w:left w:type="dxa" w:w="120"/>
              <w:bottom w:type="dxa" w:w="80"/>
              <w:right w:type="dxa" w:w="120"/>
            </w:tcMar>
          </w:tcPr>
          <w:p>
            <w:pPr>
              <w:spacing w:after="40"/>
              <w:jc w:val="center"/>
            </w:pPr>
            <w:r>
              <w:rPr>
                <w:b w:val="false"/>
                <w:bCs w:val="false"/>
                <w:color w:val="1B1B1F"/>
                <w:sz w:val="20"/>
                <w:szCs w:val="20"/>
              </w:rPr>
              <w:t xml:space="preserve">Low / Low</w:t>
            </w:r>
          </w:p>
        </w:tc>
        <w:tc>
          <w:tcPr>
            <w:tcMar>
              <w:top w:type="dxa" w:w="80"/>
              <w:left w:type="dxa" w:w="120"/>
              <w:bottom w:type="dxa" w:w="80"/>
              <w:right w:type="dxa" w:w="120"/>
            </w:tcMar>
          </w:tcPr>
          <w:p>
            <w:pPr>
              <w:spacing w:after="40"/>
              <w:jc w:val="left"/>
            </w:pPr>
            <w:r>
              <w:rPr>
                <w:b w:val="false"/>
                <w:bCs w:val="false"/>
                <w:color w:val="1B1B1F"/>
                <w:sz w:val="20"/>
                <w:szCs w:val="20"/>
              </w:rPr>
              <w:t xml:space="preserve">Annual vendor review; parallel Claude Code on Foundry pilot (Appendix C) reduces single-vendor lock-in; exit plan kept as part of third-party risk record.</w:t>
            </w:r>
          </w:p>
        </w:tc>
      </w:tr>
    </w:tbl>
    <w:p>
      <w:pPr>
        <w:pStyle w:val="Heading1"/>
        <w:spacing w:after="160" w:before="360"/>
      </w:pPr>
      <w:r>
        <w:rPr>
          <w:b/>
          <w:bCs/>
          <w:color w:val="1F3864"/>
          <w:sz w:val="30"/>
          <w:szCs w:val="30"/>
        </w:rPr>
        <w:t xml:space="preserve">8. Timeline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10%"/>
            <w:shd w:fill="1F3864" w:color="auto" w:val="clear"/>
            <w:tcMar>
              <w:top w:type="dxa" w:w="80"/>
              <w:left w:type="dxa" w:w="120"/>
              <w:bottom w:type="dxa" w:w="80"/>
              <w:right w:type="dxa" w:w="120"/>
            </w:tcMar>
          </w:tcPr>
          <w:p>
            <w:pPr>
              <w:spacing w:after="40"/>
              <w:jc w:val="center"/>
            </w:pPr>
            <w:r>
              <w:rPr>
                <w:b/>
                <w:bCs/>
                <w:color w:val="FFFFFF"/>
                <w:sz w:val="20"/>
                <w:szCs w:val="20"/>
              </w:rPr>
              <w:t xml:space="preserve">Week</w:t>
            </w:r>
          </w:p>
        </w:tc>
        <w:tc>
          <w:tcPr>
            <w:tcW w:type="pct" w:w="18%"/>
            <w:shd w:fill="1F3864" w:color="auto" w:val="clear"/>
            <w:tcMar>
              <w:top w:type="dxa" w:w="80"/>
              <w:left w:type="dxa" w:w="120"/>
              <w:bottom w:type="dxa" w:w="80"/>
              <w:right w:type="dxa" w:w="120"/>
            </w:tcMar>
          </w:tcPr>
          <w:p>
            <w:pPr>
              <w:spacing w:after="40"/>
              <w:jc w:val="left"/>
            </w:pPr>
            <w:r>
              <w:rPr>
                <w:b/>
                <w:bCs/>
                <w:color w:val="FFFFFF"/>
                <w:sz w:val="20"/>
                <w:szCs w:val="20"/>
              </w:rPr>
              <w:t xml:space="preserve">Phase</w:t>
            </w:r>
          </w:p>
        </w:tc>
        <w:tc>
          <w:tcPr>
            <w:tcW w:type="pct" w:w="72%"/>
            <w:shd w:fill="1F3864" w:color="auto" w:val="clear"/>
            <w:tcMar>
              <w:top w:type="dxa" w:w="80"/>
              <w:left w:type="dxa" w:w="120"/>
              <w:bottom w:type="dxa" w:w="80"/>
              <w:right w:type="dxa" w:w="120"/>
            </w:tcMar>
          </w:tcPr>
          <w:p>
            <w:pPr>
              <w:spacing w:after="40"/>
              <w:jc w:val="left"/>
            </w:pPr>
            <w:r>
              <w:rPr>
                <w:b/>
                <w:bCs/>
                <w:color w:val="FFFFFF"/>
                <w:sz w:val="20"/>
                <w:szCs w:val="20"/>
              </w:rPr>
              <w:t xml:space="preserve">Key activities</w:t>
            </w:r>
          </w:p>
        </w:tc>
      </w:tr>
      <w:tr>
        <w:tc>
          <w:tcPr>
            <w:tcMar>
              <w:top w:type="dxa" w:w="80"/>
              <w:left w:type="dxa" w:w="120"/>
              <w:bottom w:type="dxa" w:w="80"/>
              <w:right w:type="dxa" w:w="120"/>
            </w:tcMar>
          </w:tcPr>
          <w:p>
            <w:pPr>
              <w:spacing w:after="40"/>
              <w:jc w:val="center"/>
            </w:pPr>
            <w:r>
              <w:rPr>
                <w:b/>
                <w:bCs/>
                <w:color w:val="1B1B1F"/>
                <w:sz w:val="20"/>
                <w:szCs w:val="20"/>
              </w:rPr>
              <w:t xml:space="preserve">1-2</w:t>
            </w:r>
          </w:p>
        </w:tc>
        <w:tc>
          <w:tcPr>
            <w:tcMar>
              <w:top w:type="dxa" w:w="80"/>
              <w:left w:type="dxa" w:w="120"/>
              <w:bottom w:type="dxa" w:w="80"/>
              <w:right w:type="dxa" w:w="120"/>
            </w:tcMar>
          </w:tcPr>
          <w:p>
            <w:pPr>
              <w:spacing w:after="40"/>
              <w:jc w:val="left"/>
            </w:pPr>
            <w:r>
              <w:rPr>
                <w:b w:val="false"/>
                <w:bCs w:val="false"/>
                <w:color w:val="1B1B1F"/>
                <w:sz w:val="20"/>
                <w:szCs w:val="20"/>
              </w:rPr>
              <w:t xml:space="preserve">Foundations</w:t>
            </w:r>
          </w:p>
        </w:tc>
        <w:tc>
          <w:tcPr>
            <w:tcMar>
              <w:top w:type="dxa" w:w="80"/>
              <w:left w:type="dxa" w:w="120"/>
              <w:bottom w:type="dxa" w:w="80"/>
              <w:right w:type="dxa" w:w="120"/>
            </w:tcMar>
          </w:tcPr>
          <w:p>
            <w:pPr>
              <w:spacing w:after="40"/>
              <w:jc w:val="left"/>
            </w:pPr>
            <w:r>
              <w:rPr>
                <w:b w:val="false"/>
                <w:bCs w:val="false"/>
                <w:color w:val="1B1B1F"/>
                <w:sz w:val="20"/>
                <w:szCs w:val="20"/>
              </w:rPr>
              <w:t xml:space="preserve">Contract, DPIA, acceptable-use policy finalised. Tenant configured: public-code filter ON, content exclusions drafted, Entra group model. Pilot cohort confirmed; champions appointed. Foundry project for Claude Code pilot provisioned.</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3-4</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Baseline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Measure DORA and PR metrics without Copilot for four weeks (starts week 1-4 in parallel). Run pre-pilot DX survey. Train cohort and champions.</w:t>
            </w:r>
          </w:p>
        </w:tc>
      </w:tr>
      <w:tr>
        <w:tc>
          <w:tcPr>
            <w:tcMar>
              <w:top w:type="dxa" w:w="80"/>
              <w:left w:type="dxa" w:w="120"/>
              <w:bottom w:type="dxa" w:w="80"/>
              <w:right w:type="dxa" w:w="120"/>
            </w:tcMar>
          </w:tcPr>
          <w:p>
            <w:pPr>
              <w:spacing w:after="40"/>
              <w:jc w:val="center"/>
            </w:pPr>
            <w:r>
              <w:rPr>
                <w:b/>
                <w:bCs/>
                <w:color w:val="1B1B1F"/>
                <w:sz w:val="20"/>
                <w:szCs w:val="20"/>
              </w:rPr>
              <w:t xml:space="preserve">5</w:t>
            </w:r>
          </w:p>
        </w:tc>
        <w:tc>
          <w:tcPr>
            <w:tcMar>
              <w:top w:type="dxa" w:w="80"/>
              <w:left w:type="dxa" w:w="120"/>
              <w:bottom w:type="dxa" w:w="80"/>
              <w:right w:type="dxa" w:w="120"/>
            </w:tcMar>
          </w:tcPr>
          <w:p>
            <w:pPr>
              <w:spacing w:after="40"/>
              <w:jc w:val="left"/>
            </w:pPr>
            <w:r>
              <w:rPr>
                <w:b w:val="false"/>
                <w:bCs w:val="false"/>
                <w:color w:val="1B1B1F"/>
                <w:sz w:val="20"/>
                <w:szCs w:val="20"/>
              </w:rPr>
              <w:t xml:space="preserve">Pilot start</w:t>
            </w:r>
          </w:p>
        </w:tc>
        <w:tc>
          <w:tcPr>
            <w:tcMar>
              <w:top w:type="dxa" w:w="80"/>
              <w:left w:type="dxa" w:w="120"/>
              <w:bottom w:type="dxa" w:w="80"/>
              <w:right w:type="dxa" w:w="120"/>
            </w:tcMar>
          </w:tcPr>
          <w:p>
            <w:pPr>
              <w:spacing w:after="40"/>
              <w:jc w:val="left"/>
            </w:pPr>
            <w:r>
              <w:rPr>
                <w:b w:val="false"/>
                <w:bCs w:val="false"/>
                <w:color w:val="1B1B1F"/>
                <w:sz w:val="20"/>
                <w:szCs w:val="20"/>
              </w:rPr>
              <w:t xml:space="preserve">Seats assigned, cohort onboarded. Week 1 clinic covers prompting patterns, code review workflow, acceptance discipline. Claude Code sub-cohort starts in parallel.</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6-12</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Pilot run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Weekly cohort clinics, bi-weekly AI Council updates, Copilot analytics tracked. Issue log maintained. Mid-point check at week 8. Claude Code sub-cohort tracked on same metrics.</w:t>
            </w:r>
          </w:p>
        </w:tc>
      </w:tr>
      <w:tr>
        <w:tc>
          <w:tcPr>
            <w:tcMar>
              <w:top w:type="dxa" w:w="80"/>
              <w:left w:type="dxa" w:w="120"/>
              <w:bottom w:type="dxa" w:w="80"/>
              <w:right w:type="dxa" w:w="120"/>
            </w:tcMar>
          </w:tcPr>
          <w:p>
            <w:pPr>
              <w:spacing w:after="40"/>
              <w:jc w:val="center"/>
            </w:pPr>
            <w:r>
              <w:rPr>
                <w:b/>
                <w:bCs/>
                <w:color w:val="1B1B1F"/>
                <w:sz w:val="20"/>
                <w:szCs w:val="20"/>
              </w:rPr>
              <w:t xml:space="preserve">13</w:t>
            </w:r>
          </w:p>
        </w:tc>
        <w:tc>
          <w:tcPr>
            <w:tcMar>
              <w:top w:type="dxa" w:w="80"/>
              <w:left w:type="dxa" w:w="120"/>
              <w:bottom w:type="dxa" w:w="80"/>
              <w:right w:type="dxa" w:w="120"/>
            </w:tcMar>
          </w:tcPr>
          <w:p>
            <w:pPr>
              <w:spacing w:after="40"/>
              <w:jc w:val="left"/>
            </w:pPr>
            <w:r>
              <w:rPr>
                <w:b w:val="false"/>
                <w:bCs w:val="false"/>
                <w:color w:val="1B1B1F"/>
                <w:sz w:val="20"/>
                <w:szCs w:val="20"/>
              </w:rPr>
              <w:t xml:space="preserve">Read-out</w:t>
            </w:r>
          </w:p>
        </w:tc>
        <w:tc>
          <w:tcPr>
            <w:tcMar>
              <w:top w:type="dxa" w:w="80"/>
              <w:left w:type="dxa" w:w="120"/>
              <w:bottom w:type="dxa" w:w="80"/>
              <w:right w:type="dxa" w:w="120"/>
            </w:tcMar>
          </w:tcPr>
          <w:p>
            <w:pPr>
              <w:spacing w:after="40"/>
              <w:jc w:val="left"/>
            </w:pPr>
            <w:r>
              <w:rPr>
                <w:b w:val="false"/>
                <w:bCs w:val="false"/>
                <w:color w:val="1B1B1F"/>
                <w:sz w:val="20"/>
                <w:szCs w:val="20"/>
              </w:rPr>
              <w:t xml:space="preserve">Formal evaluation vs. baseline. Head-to-head comparison of Copilot Enterprise and Claude Code on Foundry. Decision: expand, continue, or stop. AI Council and board update.</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14-16</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Wave 2 prep</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Procurement expanded, onboarding material refreshed, champion network expanded to one per team.</w:t>
            </w:r>
          </w:p>
        </w:tc>
      </w:tr>
      <w:tr>
        <w:tc>
          <w:tcPr>
            <w:tcMar>
              <w:top w:type="dxa" w:w="80"/>
              <w:left w:type="dxa" w:w="120"/>
              <w:bottom w:type="dxa" w:w="80"/>
              <w:right w:type="dxa" w:w="120"/>
            </w:tcMar>
          </w:tcPr>
          <w:p>
            <w:pPr>
              <w:spacing w:after="40"/>
              <w:jc w:val="center"/>
            </w:pPr>
            <w:r>
              <w:rPr>
                <w:b/>
                <w:bCs/>
                <w:color w:val="1B1B1F"/>
                <w:sz w:val="20"/>
                <w:szCs w:val="20"/>
              </w:rPr>
              <w:t xml:space="preserve">17-20</w:t>
            </w:r>
          </w:p>
        </w:tc>
        <w:tc>
          <w:tcPr>
            <w:tcMar>
              <w:top w:type="dxa" w:w="80"/>
              <w:left w:type="dxa" w:w="120"/>
              <w:bottom w:type="dxa" w:w="80"/>
              <w:right w:type="dxa" w:w="120"/>
            </w:tcMar>
          </w:tcPr>
          <w:p>
            <w:pPr>
              <w:spacing w:after="40"/>
              <w:jc w:val="left"/>
            </w:pPr>
            <w:r>
              <w:rPr>
                <w:b w:val="false"/>
                <w:bCs w:val="false"/>
                <w:color w:val="1B1B1F"/>
                <w:sz w:val="20"/>
                <w:szCs w:val="20"/>
              </w:rPr>
              <w:t xml:space="preserve">Wave 2 rollout</w:t>
            </w:r>
          </w:p>
        </w:tc>
        <w:tc>
          <w:tcPr>
            <w:tcMar>
              <w:top w:type="dxa" w:w="80"/>
              <w:left w:type="dxa" w:w="120"/>
              <w:bottom w:type="dxa" w:w="80"/>
              <w:right w:type="dxa" w:w="120"/>
            </w:tcMar>
          </w:tcPr>
          <w:p>
            <w:pPr>
              <w:spacing w:after="40"/>
              <w:jc w:val="left"/>
            </w:pPr>
            <w:r>
              <w:rPr>
                <w:b w:val="false"/>
                <w:bCs w:val="false"/>
                <w:color w:val="1B1B1F"/>
                <w:sz w:val="20"/>
                <w:szCs w:val="20"/>
              </w:rPr>
              <w:t xml:space="preserve">Remaining engineering population onboarded. Self-serve training + live Q&amp;A.</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21-26</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Stabilise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Adoption analytics reviewed weekly. Guidance iterated from real use. First regulator-ready evidence pack produced.</w:t>
            </w:r>
          </w:p>
        </w:tc>
      </w:tr>
    </w:tbl>
    <w:p>
      <w:pPr>
        <w:pStyle w:val="Heading1"/>
        <w:spacing w:after="160" w:before="360"/>
      </w:pPr>
      <w:r>
        <w:rPr>
          <w:b/>
          <w:bCs/>
          <w:color w:val="1F3864"/>
          <w:sz w:val="30"/>
          <w:szCs w:val="30"/>
        </w:rPr>
        <w:t xml:space="preserve">9. Scale-out Decision Criteria</w:t>
      </w:r>
    </w:p>
    <w:p>
      <w:pPr>
        <w:spacing w:after="120" w:line="300"/>
      </w:pPr>
      <w:r>
        <w:t xml:space="preserve">At the week-13 read-out, the decision to scale, continue or stop is made against explicit thresholds. This prevents the pilot from becoming open-ended and gives the board a clean yes or no.</w:t>
      </w:r>
    </w:p>
    <w:p>
      <w:pPr>
        <w:pStyle w:val="Heading2"/>
        <w:spacing w:after="120" w:before="240"/>
      </w:pPr>
      <w:r>
        <w:rPr>
          <w:b/>
          <w:bCs/>
          <w:color w:val="0F1F44"/>
          <w:sz w:val="24"/>
          <w:szCs w:val="24"/>
        </w:rPr>
        <w:t xml:space="preserve">9.1 Scale</w:t>
      </w:r>
    </w:p>
    <w:p>
      <w:pPr>
        <w:pStyle w:val="ListParagraph"/>
        <w:numPr>
          <w:ilvl w:val="0"/>
          <w:numId w:val="2"/>
        </w:numPr>
        <w:spacing w:after="80" w:line="280"/>
      </w:pPr>
      <w:r>
        <w:t xml:space="preserve">Copilot acceptance rate greater than 25% sustained across the final four weeks.</w:t>
      </w:r>
    </w:p>
    <w:p>
      <w:pPr>
        <w:pStyle w:val="ListParagraph"/>
        <w:numPr>
          <w:ilvl w:val="0"/>
          <w:numId w:val="2"/>
        </w:numPr>
        <w:spacing w:after="80" w:line="280"/>
      </w:pPr>
      <w:r>
        <w:t xml:space="preserve">Weekly active use greater than 70% of cohort.</w:t>
      </w:r>
    </w:p>
    <w:p>
      <w:pPr>
        <w:pStyle w:val="ListParagraph"/>
        <w:numPr>
          <w:ilvl w:val="0"/>
          <w:numId w:val="2"/>
        </w:numPr>
        <w:spacing w:after="80" w:line="280"/>
      </w:pPr>
      <w:r>
        <w:t xml:space="preserve">PR review time or lead time reduced vs. baseline (directional).</w:t>
      </w:r>
    </w:p>
    <w:p>
      <w:pPr>
        <w:pStyle w:val="ListParagraph"/>
        <w:numPr>
          <w:ilvl w:val="0"/>
          <w:numId w:val="2"/>
        </w:numPr>
        <w:spacing w:after="80" w:line="280"/>
      </w:pPr>
      <w:r>
        <w:t xml:space="preserve">No material security or IP incident attributable to Copilot.</w:t>
      </w:r>
    </w:p>
    <w:p>
      <w:pPr>
        <w:pStyle w:val="ListParagraph"/>
        <w:numPr>
          <w:ilvl w:val="0"/>
          <w:numId w:val="2"/>
        </w:numPr>
        <w:spacing w:after="80" w:line="280"/>
      </w:pPr>
      <w:r>
        <w:t xml:space="preserve">Developer experience score improved or stable, positive qualitative feedback majority.</w:t>
      </w:r>
    </w:p>
    <w:p>
      <w:pPr>
        <w:pStyle w:val="Heading2"/>
        <w:spacing w:after="120" w:before="240"/>
      </w:pPr>
      <w:r>
        <w:rPr>
          <w:b/>
          <w:bCs/>
          <w:color w:val="0F1F44"/>
          <w:sz w:val="24"/>
          <w:szCs w:val="24"/>
        </w:rPr>
        <w:t xml:space="preserve">9.2 Continue pilot</w:t>
      </w:r>
    </w:p>
    <w:p>
      <w:pPr>
        <w:pStyle w:val="ListParagraph"/>
        <w:numPr>
          <w:ilvl w:val="0"/>
          <w:numId w:val="2"/>
        </w:numPr>
        <w:spacing w:after="80" w:line="280"/>
      </w:pPr>
      <w:r>
        <w:t xml:space="preserve">Signals are ambiguous: use a further four weeks to sharpen enablement, content exclusions or cohort composition.</w:t>
      </w:r>
    </w:p>
    <w:p>
      <w:pPr>
        <w:pStyle w:val="Heading2"/>
        <w:spacing w:after="120" w:before="240"/>
      </w:pPr>
      <w:r>
        <w:rPr>
          <w:b/>
          <w:bCs/>
          <w:color w:val="0F1F44"/>
          <w:sz w:val="24"/>
          <w:szCs w:val="24"/>
        </w:rPr>
        <w:t xml:space="preserve">9.3 Stop</w:t>
      </w:r>
    </w:p>
    <w:p>
      <w:pPr>
        <w:pStyle w:val="ListParagraph"/>
        <w:numPr>
          <w:ilvl w:val="0"/>
          <w:numId w:val="2"/>
        </w:numPr>
        <w:spacing w:after="80" w:line="280"/>
      </w:pPr>
      <w:r>
        <w:t xml:space="preserve">Material incident: code leakage, IP exposure, regulator intervention.</w:t>
      </w:r>
    </w:p>
    <w:p>
      <w:pPr>
        <w:pStyle w:val="ListParagraph"/>
        <w:numPr>
          <w:ilvl w:val="0"/>
          <w:numId w:val="2"/>
        </w:numPr>
        <w:spacing w:after="80" w:line="280"/>
      </w:pPr>
      <w:r>
        <w:t xml:space="preserve">Sustained negative developer experience.</w:t>
      </w:r>
    </w:p>
    <w:p>
      <w:pPr>
        <w:pStyle w:val="ListParagraph"/>
        <w:numPr>
          <w:ilvl w:val="0"/>
          <w:numId w:val="2"/>
        </w:numPr>
        <w:spacing w:after="80" w:line="280"/>
      </w:pPr>
      <w:r>
        <w:t xml:space="preserve">Adoption stuck below 30% despite enablement effort.</w:t>
      </w:r>
    </w:p>
    <w:p>
      <w:pPr>
        <w:pStyle w:val="Heading1"/>
        <w:spacing w:after="160" w:before="360"/>
      </w:pPr>
      <w:r>
        <w:rPr>
          <w:b/>
          <w:bCs/>
          <w:color w:val="1F3864"/>
          <w:sz w:val="30"/>
          <w:szCs w:val="30"/>
        </w:rPr>
        <w:t xml:space="preserve">10. Governance Integration</w:t>
      </w:r>
    </w:p>
    <w:p>
      <w:pPr>
        <w:pStyle w:val="ListParagraph"/>
        <w:numPr>
          <w:ilvl w:val="0"/>
          <w:numId w:val="2"/>
        </w:numPr>
        <w:spacing w:after="80" w:line="280"/>
      </w:pPr>
      <w:r>
        <w:t xml:space="preserve">Copilot and Claude Code on Foundry are registered as AI use cases in the AI register: use-case owner, risk tier, data classes, approved model providers, evaluation notes.</w:t>
      </w:r>
    </w:p>
    <w:p>
      <w:pPr>
        <w:pStyle w:val="ListParagraph"/>
        <w:numPr>
          <w:ilvl w:val="0"/>
          <w:numId w:val="2"/>
        </w:numPr>
        <w:spacing w:after="80" w:line="280"/>
      </w:pPr>
      <w:r>
        <w:t xml:space="preserve">AI Council reviews Copilot and Claude Code posture quarterly once scaled.</w:t>
      </w:r>
    </w:p>
    <w:p>
      <w:pPr>
        <w:pStyle w:val="ListParagraph"/>
        <w:numPr>
          <w:ilvl w:val="0"/>
          <w:numId w:val="2"/>
        </w:numPr>
        <w:spacing w:after="80" w:line="280"/>
      </w:pPr>
      <w:r>
        <w:t xml:space="preserve">Incidents involving AI-assisted code follow the standard incident-response runbook with an AI addendum describing any retraining or configuration changes made.</w:t>
      </w:r>
    </w:p>
    <w:p>
      <w:pPr>
        <w:pStyle w:val="ListParagraph"/>
        <w:numPr>
          <w:ilvl w:val="0"/>
          <w:numId w:val="2"/>
        </w:numPr>
        <w:spacing w:after="80" w:line="280"/>
      </w:pPr>
      <w:r>
        <w:t xml:space="preserve">Board reporting: included in the AI scorecard alongside adoption and value metrics.</w:t>
      </w:r>
    </w:p>
    <w:p>
      <w:pPr>
        <w:pStyle w:val="Heading1"/>
        <w:spacing w:after="160" w:before="360"/>
      </w:pPr>
      <w:r>
        <w:rPr>
          <w:b/>
          <w:bCs/>
          <w:color w:val="1F3864"/>
          <w:sz w:val="30"/>
          <w:szCs w:val="30"/>
        </w:rPr>
        <w:t xml:space="preserve">Appendix A: Sign-off Checklist</w:t>
      </w:r>
    </w:p>
    <w:p>
      <w:pPr>
        <w:pStyle w:val="ListParagraph"/>
        <w:numPr>
          <w:ilvl w:val="0"/>
          <w:numId w:val="2"/>
        </w:numPr>
        <w:spacing w:after="80" w:line="280"/>
      </w:pPr>
      <w:r>
        <w:t xml:space="preserve">AI &amp; Automation: programme owner (Head of AI &amp; Automation)</w:t>
      </w:r>
    </w:p>
    <w:p>
      <w:pPr>
        <w:pStyle w:val="ListParagraph"/>
        <w:numPr>
          <w:ilvl w:val="0"/>
          <w:numId w:val="2"/>
        </w:numPr>
        <w:spacing w:after="80" w:line="280"/>
      </w:pPr>
      <w:r>
        <w:t xml:space="preserve">CIO / CTO: technology approval</w:t>
      </w:r>
    </w:p>
    <w:p>
      <w:pPr>
        <w:pStyle w:val="ListParagraph"/>
        <w:numPr>
          <w:ilvl w:val="0"/>
          <w:numId w:val="2"/>
        </w:numPr>
        <w:spacing w:after="80" w:line="280"/>
      </w:pPr>
      <w:r>
        <w:t xml:space="preserve">CISO: security and monitoring configuration approved</w:t>
      </w:r>
    </w:p>
    <w:p>
      <w:pPr>
        <w:pStyle w:val="ListParagraph"/>
        <w:numPr>
          <w:ilvl w:val="0"/>
          <w:numId w:val="2"/>
        </w:numPr>
        <w:spacing w:after="80" w:line="280"/>
      </w:pPr>
      <w:r>
        <w:t xml:space="preserve">DPO: DPIA approved; record of processing updated</w:t>
      </w:r>
    </w:p>
    <w:p>
      <w:pPr>
        <w:pStyle w:val="ListParagraph"/>
        <w:numPr>
          <w:ilvl w:val="0"/>
          <w:numId w:val="2"/>
        </w:numPr>
        <w:spacing w:after="80" w:line="280"/>
      </w:pPr>
      <w:r>
        <w:t xml:space="preserve">General Counsel: acceptable-use policy and contract addendum approved</w:t>
      </w:r>
    </w:p>
    <w:p>
      <w:pPr>
        <w:pStyle w:val="ListParagraph"/>
        <w:numPr>
          <w:ilvl w:val="0"/>
          <w:numId w:val="2"/>
        </w:numPr>
        <w:spacing w:after="80" w:line="280"/>
      </w:pPr>
      <w:r>
        <w:t xml:space="preserve">Chief Risk Officer: model-risk registration approved</w:t>
      </w:r>
    </w:p>
    <w:p>
      <w:pPr>
        <w:pStyle w:val="ListParagraph"/>
        <w:numPr>
          <w:ilvl w:val="0"/>
          <w:numId w:val="2"/>
        </w:numPr>
        <w:spacing w:after="80" w:line="280"/>
      </w:pPr>
      <w:r>
        <w:t xml:space="preserve">Head of Engineering: cohort and champion network confirmed</w:t>
      </w:r>
    </w:p>
    <w:p>
      <w:pPr>
        <w:pStyle w:val="Heading1"/>
        <w:spacing w:after="160" w:before="360"/>
      </w:pPr>
      <w:r>
        <w:rPr>
          <w:b/>
          <w:bCs/>
          <w:color w:val="1F3864"/>
          <w:sz w:val="30"/>
          <w:szCs w:val="30"/>
        </w:rPr>
        <w:t xml:space="preserve">Appendix B: References</w:t>
      </w:r>
    </w:p>
    <w:p>
      <w:pPr>
        <w:pStyle w:val="ListParagraph"/>
        <w:numPr>
          <w:ilvl w:val="0"/>
          <w:numId w:val="2"/>
        </w:numPr>
        <w:spacing w:after="80" w:line="280"/>
      </w:pPr>
      <w:r>
        <w:t xml:space="preserve">NIST AI Risk Management Framework (AI RMF 1.0) and Generative AI Profile.</w:t>
      </w:r>
    </w:p>
    <w:p>
      <w:pPr>
        <w:pStyle w:val="ListParagraph"/>
        <w:numPr>
          <w:ilvl w:val="0"/>
          <w:numId w:val="2"/>
        </w:numPr>
        <w:spacing w:after="80" w:line="280"/>
      </w:pPr>
      <w:r>
        <w:t xml:space="preserve">ISO/IEC 42001 AI management system requirements.</w:t>
      </w:r>
    </w:p>
    <w:p>
      <w:pPr>
        <w:pStyle w:val="ListParagraph"/>
        <w:numPr>
          <w:ilvl w:val="0"/>
          <w:numId w:val="2"/>
        </w:numPr>
        <w:spacing w:after="80" w:line="280"/>
      </w:pPr>
      <w:r>
        <w:t xml:space="preserve">GitHub Copilot Trust Center and Enterprise documentation.</w:t>
      </w:r>
    </w:p>
    <w:p>
      <w:pPr>
        <w:pStyle w:val="ListParagraph"/>
        <w:numPr>
          <w:ilvl w:val="0"/>
          <w:numId w:val="2"/>
        </w:numPr>
        <w:spacing w:after="80" w:line="280"/>
      </w:pPr>
      <w:r>
        <w:t xml:space="preserve">DORA research programme metrics (lead time, deployment frequency, change failure rate, time to restore).</w:t>
      </w:r>
    </w:p>
    <w:p>
      <w:pPr>
        <w:pStyle w:val="ListParagraph"/>
        <w:numPr>
          <w:ilvl w:val="0"/>
          <w:numId w:val="2"/>
        </w:numPr>
        <w:spacing w:after="80" w:line="280"/>
      </w:pPr>
      <w:r>
        <w:t xml:space="preserve">Microsoft Foundry documentation: Deploy and use Claude models in Microsoft Foundry.</w:t>
      </w:r>
    </w:p>
    <w:p>
      <w:pPr>
        <w:pStyle w:val="ListParagraph"/>
        <w:numPr>
          <w:ilvl w:val="0"/>
          <w:numId w:val="2"/>
        </w:numPr>
        <w:spacing w:after="80" w:line="280"/>
      </w:pPr>
      <w:r>
        <w:t xml:space="preserve">Claude Code documentation: Claude Code on Microsoft Foundry.</w:t>
      </w:r>
    </w:p>
    <w:p>
      <w:pPr>
        <w:pStyle w:val="ListParagraph"/>
        <w:numPr>
          <w:ilvl w:val="0"/>
          <w:numId w:val="2"/>
        </w:numPr>
        <w:spacing w:after="80" w:line="280"/>
      </w:pPr>
      <w:r>
        <w:t xml:space="preserve">Local data-protection statutes as applicable (POPIA, NDPA, KDPA and equivalents).</w:t>
      </w:r>
    </w:p>
    <w:p>
      <w:pPr>
        <w:pStyle w:val="Heading1"/>
        <w:spacing w:after="160" w:before="360"/>
      </w:pPr>
      <w:r>
        <w:rPr>
          <w:b/>
          <w:bCs/>
          <w:color w:val="1F3864"/>
          <w:sz w:val="30"/>
          <w:szCs w:val="30"/>
        </w:rPr>
        <w:t xml:space="preserve">Appendix C: Claude Code on Microsoft Foundry — Parallel Pilot Track</w:t>
      </w:r>
    </w:p>
    <w:p>
      <w:pPr>
        <w:pStyle w:val="Heading2"/>
        <w:spacing w:after="120" w:before="240"/>
      </w:pPr>
      <w:r>
        <w:rPr>
          <w:b/>
          <w:bCs/>
          <w:color w:val="0F1F44"/>
          <w:sz w:val="24"/>
          <w:szCs w:val="24"/>
        </w:rPr>
        <w:t xml:space="preserve">C.1 Why run a parallel track</w:t>
      </w:r>
    </w:p>
    <w:p>
      <w:pPr>
        <w:spacing w:after="120" w:line="300"/>
      </w:pPr>
      <w:r>
        <w:t xml:space="preserve">Anthropic's Claude model family is now available inside Microsoft Foundry (Azure AI Foundry) as a first-class serverless offering. For a fintech standardised on Microsoft, this is material: Claude can be consumed under the existing Azure agreement, is eligible for the Microsoft Azure Consumption Commitment (MACC), and inherits the identity, networking, Purview DLP and Defender controls already approved for Azure OpenAI in the same Foundry project.</w:t>
      </w:r>
    </w:p>
    <w:p>
      <w:pPr>
        <w:spacing w:after="120" w:line="300"/>
      </w:pPr>
      <w:r>
        <w:t xml:space="preserve">Claude Code — Anthropic's agentic coding CLI and IDE integration — can be authenticated directly against a Foundry endpoint. Several independent benchmarks and customer studies consistently rank Claude's frontier models at or near the top for software-engineering tasks. Running a parallel pilot lets us make a data-led choice rather than a vendor-led one, and reduces single-vendor concentration risk on the most strategic workflow in the organisation.</w:t>
      </w:r>
    </w:p>
    <w:p>
      <w:pPr>
        <w:pStyle w:val="Heading2"/>
        <w:spacing w:after="120" w:before="240"/>
      </w:pPr>
      <w:r>
        <w:rPr>
          <w:b/>
          <w:bCs/>
          <w:color w:val="0F1F44"/>
          <w:sz w:val="24"/>
          <w:szCs w:val="24"/>
        </w:rPr>
        <w:t xml:space="preserve">C.2 Scope and sizing</w:t>
      </w:r>
    </w:p>
    <w:p>
      <w:pPr>
        <w:pStyle w:val="ListParagraph"/>
        <w:numPr>
          <w:ilvl w:val="0"/>
          <w:numId w:val="2"/>
        </w:numPr>
        <w:spacing w:after="80" w:line="280"/>
      </w:pPr>
      <w:r>
        <w:t xml:space="preserve">Size the parallel cohort at 10 to 15 engineers, drawn from the same 40-60 person Copilot cohort so metrics are comparable.</w:t>
      </w:r>
    </w:p>
    <w:p>
      <w:pPr>
        <w:pStyle w:val="ListParagraph"/>
        <w:numPr>
          <w:ilvl w:val="0"/>
          <w:numId w:val="2"/>
        </w:numPr>
        <w:spacing w:after="80" w:line="280"/>
      </w:pPr>
      <w:r>
        <w:t xml:space="preserve">Include at least one senior, one mid-level and one junior engineer per represented team.</w:t>
      </w:r>
    </w:p>
    <w:p>
      <w:pPr>
        <w:pStyle w:val="ListParagraph"/>
        <w:numPr>
          <w:ilvl w:val="0"/>
          <w:numId w:val="2"/>
        </w:numPr>
        <w:spacing w:after="80" w:line="280"/>
      </w:pPr>
      <w:r>
        <w:t xml:space="preserve">Participants may use Copilot Enterprise and Claude Code concurrently; the evaluation measures individual preference and task fit, not just aggregate throughput.</w:t>
      </w:r>
    </w:p>
    <w:p>
      <w:pPr>
        <w:pStyle w:val="ListParagraph"/>
        <w:numPr>
          <w:ilvl w:val="0"/>
          <w:numId w:val="2"/>
        </w:numPr>
        <w:spacing w:after="80" w:line="280"/>
      </w:pPr>
      <w:r>
        <w:t xml:space="preserve">Exclude from the parallel track: pair-programming heavy teams (to avoid confounding Copilot inline completion with Claude Code's agentic loops).</w:t>
      </w:r>
    </w:p>
    <w:p>
      <w:pPr>
        <w:pStyle w:val="Heading2"/>
        <w:spacing w:after="120" w:before="240"/>
      </w:pPr>
      <w:r>
        <w:rPr>
          <w:b/>
          <w:bCs/>
          <w:color w:val="0F1F44"/>
          <w:sz w:val="24"/>
          <w:szCs w:val="24"/>
        </w:rPr>
        <w:t xml:space="preserve">C.3 Technical setup</w:t>
      </w:r>
    </w:p>
    <w:p>
      <w:pPr>
        <w:pStyle w:val="ListParagraph"/>
        <w:numPr>
          <w:ilvl w:val="0"/>
          <w:numId w:val="2"/>
        </w:numPr>
        <w:spacing w:after="80" w:line="280"/>
      </w:pPr>
      <w:r>
        <w:t xml:space="preserve">Provision a dedicated Foundry project under the existing Foundry hub with private networking and customer-managed keys.</w:t>
      </w:r>
    </w:p>
    <w:p>
      <w:pPr>
        <w:pStyle w:val="ListParagraph"/>
        <w:numPr>
          <w:ilvl w:val="0"/>
          <w:numId w:val="2"/>
        </w:numPr>
        <w:spacing w:after="80" w:line="280"/>
      </w:pPr>
      <w:r>
        <w:t xml:space="preserve">Deploy the target Claude models as serverless endpoints: Claude Sonnet 4.6 (default, 1M context, fast and economical) and Claude Opus 4.7 (escalation, hardest tasks).</w:t>
      </w:r>
    </w:p>
    <w:p>
      <w:pPr>
        <w:pStyle w:val="ListParagraph"/>
        <w:numPr>
          <w:ilvl w:val="0"/>
          <w:numId w:val="2"/>
        </w:numPr>
        <w:spacing w:after="80" w:line="280"/>
      </w:pPr>
      <w:r>
        <w:t xml:space="preserve">Authenticate Claude Code via Entra ID with Conditional Access; service principals scoped to the pilot project only.</w:t>
      </w:r>
    </w:p>
    <w:p>
      <w:pPr>
        <w:pStyle w:val="ListParagraph"/>
        <w:numPr>
          <w:ilvl w:val="0"/>
          <w:numId w:val="2"/>
        </w:numPr>
        <w:spacing w:after="80" w:line="280"/>
      </w:pPr>
      <w:r>
        <w:t xml:space="preserve">Route all traffic through the Foundry endpoint — no direct calls to api.anthropic.com. Egress restricted at the network level.</w:t>
      </w:r>
    </w:p>
    <w:p>
      <w:pPr>
        <w:pStyle w:val="ListParagraph"/>
        <w:numPr>
          <w:ilvl w:val="0"/>
          <w:numId w:val="2"/>
        </w:numPr>
        <w:spacing w:after="80" w:line="280"/>
      </w:pPr>
      <w:r>
        <w:t xml:space="preserve">Enable Azure Monitor and Defender for Cloud on the Foundry project; pipe audit events into Sentinel alongside GitHub audit logs.</w:t>
      </w:r>
    </w:p>
    <w:p>
      <w:pPr>
        <w:pStyle w:val="ListParagraph"/>
        <w:numPr>
          <w:ilvl w:val="0"/>
          <w:numId w:val="2"/>
        </w:numPr>
        <w:spacing w:after="80" w:line="280"/>
      </w:pPr>
      <w:r>
        <w:t xml:space="preserve">Apply Purview data classification policies to repositories and knowledge-base sources the Claude Code cohort can reach.</w:t>
      </w:r>
    </w:p>
    <w:p>
      <w:pPr>
        <w:pStyle w:val="Heading2"/>
        <w:spacing w:after="120" w:before="240"/>
      </w:pPr>
      <w:r>
        <w:rPr>
          <w:b/>
          <w:bCs/>
          <w:color w:val="0F1F44"/>
          <w:sz w:val="24"/>
          <w:szCs w:val="24"/>
        </w:rPr>
        <w:t xml:space="preserve">C.4 Evaluation framework</w:t>
      </w:r>
    </w:p>
    <w:p>
      <w:pPr>
        <w:spacing w:after="120" w:line="300"/>
      </w:pPr>
      <w:r>
        <w:t xml:space="preserve">The parallel track uses the same baseline metrics as the Copilot pilot (Section 4.3) so results are directly comparable. Three additional lenses are captured for the head-to-head:</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4%"/>
            <w:shd w:fill="1F3864" w:color="auto" w:val="clear"/>
            <w:tcMar>
              <w:top w:type="dxa" w:w="80"/>
              <w:left w:type="dxa" w:w="120"/>
              <w:bottom w:type="dxa" w:w="80"/>
              <w:right w:type="dxa" w:w="120"/>
            </w:tcMar>
          </w:tcPr>
          <w:p>
            <w:pPr>
              <w:spacing w:after="40"/>
              <w:jc w:val="left"/>
            </w:pPr>
            <w:r>
              <w:rPr>
                <w:b/>
                <w:bCs/>
                <w:color w:val="FFFFFF"/>
                <w:sz w:val="20"/>
                <w:szCs w:val="20"/>
              </w:rPr>
              <w:t xml:space="preserve">Dimension</w:t>
            </w:r>
          </w:p>
        </w:tc>
        <w:tc>
          <w:tcPr>
            <w:tcW w:type="pct" w:w="38%"/>
            <w:shd w:fill="1F3864" w:color="auto" w:val="clear"/>
            <w:tcMar>
              <w:top w:type="dxa" w:w="80"/>
              <w:left w:type="dxa" w:w="120"/>
              <w:bottom w:type="dxa" w:w="80"/>
              <w:right w:type="dxa" w:w="120"/>
            </w:tcMar>
          </w:tcPr>
          <w:p>
            <w:pPr>
              <w:spacing w:after="40"/>
              <w:jc w:val="left"/>
            </w:pPr>
            <w:r>
              <w:rPr>
                <w:b/>
                <w:bCs/>
                <w:color w:val="FFFFFF"/>
                <w:sz w:val="20"/>
                <w:szCs w:val="20"/>
              </w:rPr>
              <w:t xml:space="preserve">How measured</w:t>
            </w:r>
          </w:p>
        </w:tc>
        <w:tc>
          <w:tcPr>
            <w:tcW w:type="pct" w:w="38%"/>
            <w:shd w:fill="1F3864" w:color="auto" w:val="clear"/>
            <w:tcMar>
              <w:top w:type="dxa" w:w="80"/>
              <w:left w:type="dxa" w:w="120"/>
              <w:bottom w:type="dxa" w:w="80"/>
              <w:right w:type="dxa" w:w="120"/>
            </w:tcMar>
          </w:tcPr>
          <w:p>
            <w:pPr>
              <w:spacing w:after="40"/>
              <w:jc w:val="left"/>
            </w:pPr>
            <w:r>
              <w:rPr>
                <w:b/>
                <w:bCs/>
                <w:color w:val="FFFFFF"/>
                <w:sz w:val="20"/>
                <w:szCs w:val="20"/>
              </w:rPr>
              <w:t xml:space="preserve">Evidence source</w:t>
            </w:r>
          </w:p>
        </w:tc>
      </w:tr>
      <w:tr>
        <w:tc>
          <w:tcPr>
            <w:tcMar>
              <w:top w:type="dxa" w:w="80"/>
              <w:left w:type="dxa" w:w="120"/>
              <w:bottom w:type="dxa" w:w="80"/>
              <w:right w:type="dxa" w:w="120"/>
            </w:tcMar>
          </w:tcPr>
          <w:p>
            <w:pPr>
              <w:spacing w:after="40"/>
              <w:jc w:val="left"/>
            </w:pPr>
            <w:r>
              <w:rPr>
                <w:b/>
                <w:bCs/>
                <w:color w:val="1B1B1F"/>
                <w:sz w:val="20"/>
                <w:szCs w:val="20"/>
              </w:rPr>
              <w:t xml:space="preserve">Task completion rate</w:t>
            </w:r>
          </w:p>
        </w:tc>
        <w:tc>
          <w:tcPr>
            <w:tcMar>
              <w:top w:type="dxa" w:w="80"/>
              <w:left w:type="dxa" w:w="120"/>
              <w:bottom w:type="dxa" w:w="80"/>
              <w:right w:type="dxa" w:w="120"/>
            </w:tcMar>
          </w:tcPr>
          <w:p>
            <w:pPr>
              <w:spacing w:after="40"/>
              <w:jc w:val="left"/>
            </w:pPr>
            <w:r>
              <w:rPr>
                <w:b w:val="false"/>
                <w:bCs w:val="false"/>
                <w:color w:val="1B1B1F"/>
                <w:sz w:val="20"/>
                <w:szCs w:val="20"/>
              </w:rPr>
              <w:t xml:space="preserve">For a fixed set of engineering tasks (bug fix, refactor, test generation, migration, doc generation), record whether the tool produced an acceptable output that passed review.</w:t>
            </w:r>
          </w:p>
        </w:tc>
        <w:tc>
          <w:tcPr>
            <w:tcMar>
              <w:top w:type="dxa" w:w="80"/>
              <w:left w:type="dxa" w:w="120"/>
              <w:bottom w:type="dxa" w:w="80"/>
              <w:right w:type="dxa" w:w="120"/>
            </w:tcMar>
          </w:tcPr>
          <w:p>
            <w:pPr>
              <w:spacing w:after="40"/>
              <w:jc w:val="left"/>
            </w:pPr>
            <w:r>
              <w:rPr>
                <w:b w:val="false"/>
                <w:bCs w:val="false"/>
                <w:color w:val="1B1B1F"/>
                <w:sz w:val="20"/>
                <w:szCs w:val="20"/>
              </w:rPr>
              <w:t xml:space="preserve">Standardised task battery run weekly.</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Time-to-done per task</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Wall-clock time from task start to merged PR for matched tasks across cohorts.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GitHub + manual task logs.</w:t>
            </w:r>
          </w:p>
        </w:tc>
      </w:tr>
      <w:tr>
        <w:tc>
          <w:tcPr>
            <w:tcMar>
              <w:top w:type="dxa" w:w="80"/>
              <w:left w:type="dxa" w:w="120"/>
              <w:bottom w:type="dxa" w:w="80"/>
              <w:right w:type="dxa" w:w="120"/>
            </w:tcMar>
          </w:tcPr>
          <w:p>
            <w:pPr>
              <w:spacing w:after="40"/>
              <w:jc w:val="left"/>
            </w:pPr>
            <w:r>
              <w:rPr>
                <w:b/>
                <w:bCs/>
                <w:color w:val="1B1B1F"/>
                <w:sz w:val="20"/>
                <w:szCs w:val="20"/>
              </w:rPr>
              <w:t xml:space="preserve">Engineer preference</w:t>
            </w:r>
          </w:p>
        </w:tc>
        <w:tc>
          <w:tcPr>
            <w:tcMar>
              <w:top w:type="dxa" w:w="80"/>
              <w:left w:type="dxa" w:w="120"/>
              <w:bottom w:type="dxa" w:w="80"/>
              <w:right w:type="dxa" w:w="120"/>
            </w:tcMar>
          </w:tcPr>
          <w:p>
            <w:pPr>
              <w:spacing w:after="40"/>
              <w:jc w:val="left"/>
            </w:pPr>
            <w:r>
              <w:rPr>
                <w:b w:val="false"/>
                <w:bCs w:val="false"/>
                <w:color w:val="1B1B1F"/>
                <w:sz w:val="20"/>
                <w:szCs w:val="20"/>
              </w:rPr>
              <w:t xml:space="preserve">End-of-week survey: which tool the engineer reached for first, why, and where each tool was better or worse.</w:t>
            </w:r>
          </w:p>
        </w:tc>
        <w:tc>
          <w:tcPr>
            <w:tcMar>
              <w:top w:type="dxa" w:w="80"/>
              <w:left w:type="dxa" w:w="120"/>
              <w:bottom w:type="dxa" w:w="80"/>
              <w:right w:type="dxa" w:w="120"/>
            </w:tcMar>
          </w:tcPr>
          <w:p>
            <w:pPr>
              <w:spacing w:after="40"/>
              <w:jc w:val="left"/>
            </w:pPr>
            <w:r>
              <w:rPr>
                <w:b w:val="false"/>
                <w:bCs w:val="false"/>
                <w:color w:val="1B1B1F"/>
                <w:sz w:val="20"/>
                <w:szCs w:val="20"/>
              </w:rPr>
              <w:t xml:space="preserve">DX survey; qualitative interviews.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Safety and IP signals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Secret scanning, CodeQL, and licence-match outcomes on AI-authored code from each tool.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GHAS, licence-compliance scanner.</w:t>
            </w:r>
          </w:p>
        </w:tc>
      </w:tr>
      <w:tr>
        <w:tc>
          <w:tcPr>
            <w:tcMar>
              <w:top w:type="dxa" w:w="80"/>
              <w:left w:type="dxa" w:w="120"/>
              <w:bottom w:type="dxa" w:w="80"/>
              <w:right w:type="dxa" w:w="120"/>
            </w:tcMar>
          </w:tcPr>
          <w:p>
            <w:pPr>
              <w:spacing w:after="40"/>
              <w:jc w:val="left"/>
            </w:pPr>
            <w:r>
              <w:rPr>
                <w:b/>
                <w:bCs/>
                <w:color w:val="1B1B1F"/>
                <w:sz w:val="20"/>
                <w:szCs w:val="20"/>
              </w:rPr>
              <w:t xml:space="preserve">Cost per accepted change</w:t>
            </w:r>
          </w:p>
        </w:tc>
        <w:tc>
          <w:tcPr>
            <w:tcMar>
              <w:top w:type="dxa" w:w="80"/>
              <w:left w:type="dxa" w:w="120"/>
              <w:bottom w:type="dxa" w:w="80"/>
              <w:right w:type="dxa" w:w="120"/>
            </w:tcMar>
          </w:tcPr>
          <w:p>
            <w:pPr>
              <w:spacing w:after="40"/>
              <w:jc w:val="left"/>
            </w:pPr>
            <w:r>
              <w:rPr>
                <w:b w:val="false"/>
                <w:bCs w:val="false"/>
                <w:color w:val="1B1B1F"/>
                <w:sz w:val="20"/>
                <w:szCs w:val="20"/>
              </w:rPr>
              <w:t xml:space="preserve">Token cost (Claude Foundry meter) or per-seat cost (Copilot) divided by accepted, merged changes attributable to the tool.</w:t>
            </w:r>
          </w:p>
        </w:tc>
        <w:tc>
          <w:tcPr>
            <w:tcMar>
              <w:top w:type="dxa" w:w="80"/>
              <w:left w:type="dxa" w:w="120"/>
              <w:bottom w:type="dxa" w:w="80"/>
              <w:right w:type="dxa" w:w="120"/>
            </w:tcMar>
          </w:tcPr>
          <w:p>
            <w:pPr>
              <w:spacing w:after="40"/>
              <w:jc w:val="left"/>
            </w:pPr>
            <w:r>
              <w:rPr>
                <w:b w:val="false"/>
                <w:bCs w:val="false"/>
                <w:color w:val="1B1B1F"/>
                <w:sz w:val="20"/>
                <w:szCs w:val="20"/>
              </w:rPr>
              <w:t xml:space="preserve">Foundry billing export; Copilot admin analytics.</w:t>
            </w:r>
          </w:p>
        </w:tc>
      </w:tr>
    </w:tbl>
    <w:p>
      <w:pPr>
        <w:pStyle w:val="Heading2"/>
        <w:spacing w:after="120" w:before="240"/>
      </w:pPr>
      <w:r>
        <w:rPr>
          <w:b/>
          <w:bCs/>
          <w:color w:val="0F1F44"/>
          <w:sz w:val="24"/>
          <w:szCs w:val="24"/>
        </w:rPr>
        <w:t xml:space="preserve">C.5 Risk and control addendum</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Risk</w:t>
            </w:r>
          </w:p>
        </w:tc>
        <w:tc>
          <w:tcPr>
            <w:tcW w:type="pct" w:w="18%"/>
            <w:shd w:fill="1F3864" w:color="auto" w:val="clear"/>
            <w:tcMar>
              <w:top w:type="dxa" w:w="80"/>
              <w:left w:type="dxa" w:w="120"/>
              <w:bottom w:type="dxa" w:w="80"/>
              <w:right w:type="dxa" w:w="120"/>
            </w:tcMar>
          </w:tcPr>
          <w:p>
            <w:pPr>
              <w:spacing w:after="40"/>
              <w:jc w:val="center"/>
            </w:pPr>
            <w:r>
              <w:rPr>
                <w:b/>
                <w:bCs/>
                <w:color w:val="FFFFFF"/>
                <w:sz w:val="20"/>
                <w:szCs w:val="20"/>
              </w:rPr>
              <w:t xml:space="preserve">Specific to Claude Code?</w:t>
            </w:r>
          </w:p>
        </w:tc>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Mitigation</w:t>
            </w:r>
          </w:p>
        </w:tc>
      </w:tr>
      <w:tr>
        <w:tc>
          <w:tcPr>
            <w:tcMar>
              <w:top w:type="dxa" w:w="80"/>
              <w:left w:type="dxa" w:w="120"/>
              <w:bottom w:type="dxa" w:w="80"/>
              <w:right w:type="dxa" w:w="120"/>
            </w:tcMar>
          </w:tcPr>
          <w:p>
            <w:pPr>
              <w:spacing w:after="40"/>
              <w:jc w:val="left"/>
            </w:pPr>
            <w:r>
              <w:rPr>
                <w:b/>
                <w:bCs/>
                <w:color w:val="1B1B1F"/>
                <w:sz w:val="20"/>
                <w:szCs w:val="20"/>
              </w:rPr>
              <w:t xml:space="preserve">Model prompt-injection via third-party content (e.g. docs, issues)</w:t>
            </w:r>
          </w:p>
        </w:tc>
        <w:tc>
          <w:tcPr>
            <w:tcMar>
              <w:top w:type="dxa" w:w="80"/>
              <w:left w:type="dxa" w:w="120"/>
              <w:bottom w:type="dxa" w:w="80"/>
              <w:right w:type="dxa" w:w="120"/>
            </w:tcMar>
          </w:tcPr>
          <w:p>
            <w:pPr>
              <w:spacing w:after="40"/>
              <w:jc w:val="center"/>
            </w:pPr>
            <w:r>
              <w:rPr>
                <w:b w:val="false"/>
                <w:bCs w:val="false"/>
                <w:color w:val="1B1B1F"/>
                <w:sz w:val="20"/>
                <w:szCs w:val="20"/>
              </w:rPr>
              <w:t xml:space="preserve">Both</w:t>
            </w:r>
          </w:p>
        </w:tc>
        <w:tc>
          <w:tcPr>
            <w:tcMar>
              <w:top w:type="dxa" w:w="80"/>
              <w:left w:type="dxa" w:w="120"/>
              <w:bottom w:type="dxa" w:w="80"/>
              <w:right w:type="dxa" w:w="120"/>
            </w:tcMar>
          </w:tcPr>
          <w:p>
            <w:pPr>
              <w:spacing w:after="40"/>
              <w:jc w:val="left"/>
            </w:pPr>
            <w:r>
              <w:rPr>
                <w:b w:val="false"/>
                <w:bCs w:val="false"/>
                <w:color w:val="1B1B1F"/>
                <w:sz w:val="20"/>
                <w:szCs w:val="20"/>
              </w:rPr>
              <w:t xml:space="preserve">Treat external content as untrusted; no tool use on untrusted URLs; approval gates on sensitive actions; Defender alerts on anomalous model traffic.</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Agentic code execution with broad permissions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Claude Code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Run Claude Code inside Dev Box / Codespaces only; agent runs under least-privilege service principal; destructive commands behind explicit confirmation; no production credentials ever present in the agent's environment.</w:t>
            </w:r>
          </w:p>
        </w:tc>
      </w:tr>
      <w:tr>
        <w:tc>
          <w:tcPr>
            <w:tcMar>
              <w:top w:type="dxa" w:w="80"/>
              <w:left w:type="dxa" w:w="120"/>
              <w:bottom w:type="dxa" w:w="80"/>
              <w:right w:type="dxa" w:w="120"/>
            </w:tcMar>
          </w:tcPr>
          <w:p>
            <w:pPr>
              <w:spacing w:after="40"/>
              <w:jc w:val="left"/>
            </w:pPr>
            <w:r>
              <w:rPr>
                <w:b/>
                <w:bCs/>
                <w:color w:val="1B1B1F"/>
                <w:sz w:val="20"/>
                <w:szCs w:val="20"/>
              </w:rPr>
              <w:t xml:space="preserve">Data residency</w:t>
            </w:r>
          </w:p>
        </w:tc>
        <w:tc>
          <w:tcPr>
            <w:tcMar>
              <w:top w:type="dxa" w:w="80"/>
              <w:left w:type="dxa" w:w="120"/>
              <w:bottom w:type="dxa" w:w="80"/>
              <w:right w:type="dxa" w:w="120"/>
            </w:tcMar>
          </w:tcPr>
          <w:p>
            <w:pPr>
              <w:spacing w:after="40"/>
              <w:jc w:val="center"/>
            </w:pPr>
            <w:r>
              <w:rPr>
                <w:b w:val="false"/>
                <w:bCs w:val="false"/>
                <w:color w:val="1B1B1F"/>
                <w:sz w:val="20"/>
                <w:szCs w:val="20"/>
              </w:rPr>
              <w:t xml:space="preserve">Both</w:t>
            </w:r>
          </w:p>
        </w:tc>
        <w:tc>
          <w:tcPr>
            <w:tcMar>
              <w:top w:type="dxa" w:w="80"/>
              <w:left w:type="dxa" w:w="120"/>
              <w:bottom w:type="dxa" w:w="80"/>
              <w:right w:type="dxa" w:w="120"/>
            </w:tcMar>
          </w:tcPr>
          <w:p>
            <w:pPr>
              <w:spacing w:after="40"/>
              <w:jc w:val="left"/>
            </w:pPr>
            <w:r>
              <w:rPr>
                <w:b w:val="false"/>
                <w:bCs w:val="false"/>
                <w:color w:val="1B1B1F"/>
                <w:sz w:val="20"/>
                <w:szCs w:val="20"/>
              </w:rPr>
              <w:t xml:space="preserve">Pin Foundry Claude deployment to an approved region. Confirm in writing via the Microsoft Foundry data residency documentation. DPO sign-off recorded in the use-case register.</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IP / training data exposure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Both</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Confirm Foundry contract terms: prompts and outputs are not used to train Anthropic foundation models. Enable licence-match scanning on Claude-authored code; developer training on open-source licence awareness.</w:t>
            </w:r>
          </w:p>
        </w:tc>
      </w:tr>
      <w:tr>
        <w:tc>
          <w:tcPr>
            <w:tcMar>
              <w:top w:type="dxa" w:w="80"/>
              <w:left w:type="dxa" w:w="120"/>
              <w:bottom w:type="dxa" w:w="80"/>
              <w:right w:type="dxa" w:w="120"/>
            </w:tcMar>
          </w:tcPr>
          <w:p>
            <w:pPr>
              <w:spacing w:after="40"/>
              <w:jc w:val="left"/>
            </w:pPr>
            <w:r>
              <w:rPr>
                <w:b/>
                <w:bCs/>
                <w:color w:val="1B1B1F"/>
                <w:sz w:val="20"/>
                <w:szCs w:val="20"/>
              </w:rPr>
              <w:t xml:space="preserve">Tool concentration (reverse risk)</w:t>
            </w:r>
          </w:p>
        </w:tc>
        <w:tc>
          <w:tcPr>
            <w:tcMar>
              <w:top w:type="dxa" w:w="80"/>
              <w:left w:type="dxa" w:w="120"/>
              <w:bottom w:type="dxa" w:w="80"/>
              <w:right w:type="dxa" w:w="120"/>
            </w:tcMar>
          </w:tcPr>
          <w:p>
            <w:pPr>
              <w:spacing w:after="40"/>
              <w:jc w:val="center"/>
            </w:pPr>
            <w:r>
              <w:rPr>
                <w:b w:val="false"/>
                <w:bCs w:val="false"/>
                <w:color w:val="1B1B1F"/>
                <w:sz w:val="20"/>
                <w:szCs w:val="20"/>
              </w:rPr>
              <w:t xml:space="preserve">N/A</w:t>
            </w:r>
          </w:p>
        </w:tc>
        <w:tc>
          <w:tcPr>
            <w:tcMar>
              <w:top w:type="dxa" w:w="80"/>
              <w:left w:type="dxa" w:w="120"/>
              <w:bottom w:type="dxa" w:w="80"/>
              <w:right w:type="dxa" w:w="120"/>
            </w:tcMar>
          </w:tcPr>
          <w:p>
            <w:pPr>
              <w:spacing w:after="40"/>
              <w:jc w:val="left"/>
            </w:pPr>
            <w:r>
              <w:rPr>
                <w:b w:val="false"/>
                <w:bCs w:val="false"/>
                <w:color w:val="1B1B1F"/>
                <w:sz w:val="20"/>
                <w:szCs w:val="20"/>
              </w:rPr>
              <w:t xml:space="preserve">Parallel pilot itself is the mitigation — decision at week 13 can select dual-use rather than single vendor if evidence supports it.</w:t>
            </w:r>
          </w:p>
        </w:tc>
      </w:tr>
    </w:tbl>
    <w:p>
      <w:pPr>
        <w:pStyle w:val="Heading2"/>
        <w:spacing w:after="120" w:before="240"/>
      </w:pPr>
      <w:r>
        <w:rPr>
          <w:b/>
          <w:bCs/>
          <w:color w:val="0F1F44"/>
          <w:sz w:val="24"/>
          <w:szCs w:val="24"/>
        </w:rPr>
        <w:t xml:space="preserve">C.6 Decision criteria (week 13)</w:t>
      </w:r>
    </w:p>
    <w:p>
      <w:pPr>
        <w:spacing w:after="120" w:line="300"/>
      </w:pPr>
      <w:r>
        <w:t xml:space="preserve">At the same read-out as the Copilot pilot, the AI Council takes one of four decisions on agentic-coding tool strategy: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Outcome</w:t>
            </w:r>
          </w:p>
        </w:tc>
        <w:tc>
          <w:tcPr>
            <w:tcW w:type="pct" w:w="74%"/>
            <w:shd w:fill="1F3864" w:color="auto" w:val="clear"/>
            <w:tcMar>
              <w:top w:type="dxa" w:w="80"/>
              <w:left w:type="dxa" w:w="120"/>
              <w:bottom w:type="dxa" w:w="80"/>
              <w:right w:type="dxa" w:w="120"/>
            </w:tcMar>
          </w:tcPr>
          <w:p>
            <w:pPr>
              <w:spacing w:after="40"/>
              <w:jc w:val="left"/>
            </w:pPr>
            <w:r>
              <w:rPr>
                <w:b/>
                <w:bCs/>
                <w:color w:val="FFFFFF"/>
                <w:sz w:val="20"/>
                <w:szCs w:val="20"/>
              </w:rPr>
              <w:t xml:space="preserve">Criteria</w:t>
            </w:r>
          </w:p>
        </w:tc>
      </w:tr>
      <w:tr>
        <w:tc>
          <w:tcPr>
            <w:tcMar>
              <w:top w:type="dxa" w:w="80"/>
              <w:left w:type="dxa" w:w="120"/>
              <w:bottom w:type="dxa" w:w="80"/>
              <w:right w:type="dxa" w:w="120"/>
            </w:tcMar>
          </w:tcPr>
          <w:p>
            <w:pPr>
              <w:spacing w:after="40"/>
              <w:jc w:val="left"/>
            </w:pPr>
            <w:r>
              <w:rPr>
                <w:b/>
                <w:bCs/>
                <w:color w:val="1F3864"/>
                <w:sz w:val="20"/>
                <w:szCs w:val="20"/>
              </w:rPr>
              <w:t xml:space="preserve">Copilot-primary</w:t>
            </w:r>
          </w:p>
        </w:tc>
        <w:tc>
          <w:tcPr>
            <w:tcMar>
              <w:top w:type="dxa" w:w="80"/>
              <w:left w:type="dxa" w:w="120"/>
              <w:bottom w:type="dxa" w:w="80"/>
              <w:right w:type="dxa" w:w="120"/>
            </w:tcMar>
          </w:tcPr>
          <w:p>
            <w:pPr>
              <w:spacing w:after="40"/>
              <w:jc w:val="left"/>
            </w:pPr>
            <w:r>
              <w:rPr>
                <w:b w:val="false"/>
                <w:bCs w:val="false"/>
                <w:color w:val="1B1B1F"/>
                <w:sz w:val="20"/>
                <w:szCs w:val="20"/>
              </w:rPr>
              <w:t xml:space="preserve">Copilot Enterprise wins on cost per accepted change and acceptance rate, and engineer preference is majority-Copilot. Claude Code retained for a narrow expert cohort if specific task-type signal is materially stronger (e.g. long-horizon refactors).</w:t>
            </w:r>
          </w:p>
        </w:tc>
      </w:tr>
      <w:tr>
        <w:tc>
          <w:tcPr>
            <w:shd w:fill="F3F6FC" w:color="auto" w:val="clear"/>
            <w:tcMar>
              <w:top w:type="dxa" w:w="80"/>
              <w:left w:type="dxa" w:w="120"/>
              <w:bottom w:type="dxa" w:w="80"/>
              <w:right w:type="dxa" w:w="120"/>
            </w:tcMar>
          </w:tcPr>
          <w:p>
            <w:pPr>
              <w:spacing w:after="40"/>
              <w:jc w:val="left"/>
            </w:pPr>
            <w:r>
              <w:rPr>
                <w:b/>
                <w:bCs/>
                <w:color w:val="1F3864"/>
                <w:sz w:val="20"/>
                <w:szCs w:val="20"/>
              </w:rPr>
              <w:t xml:space="preserve">Claude-primary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Claude Code wins on task completion rate, time-to-done, and engineer preference, and the cost delta is defensible. Copilot Enterprise retained for inline completion and Code Review flows where it has no equivalent.</w:t>
            </w:r>
          </w:p>
        </w:tc>
      </w:tr>
      <w:tr>
        <w:tc>
          <w:tcPr>
            <w:tcMar>
              <w:top w:type="dxa" w:w="80"/>
              <w:left w:type="dxa" w:w="120"/>
              <w:bottom w:type="dxa" w:w="80"/>
              <w:right w:type="dxa" w:w="120"/>
            </w:tcMar>
          </w:tcPr>
          <w:p>
            <w:pPr>
              <w:spacing w:after="40"/>
              <w:jc w:val="left"/>
            </w:pPr>
            <w:r>
              <w:rPr>
                <w:b/>
                <w:bCs/>
                <w:color w:val="1F3864"/>
                <w:sz w:val="20"/>
                <w:szCs w:val="20"/>
              </w:rPr>
              <w:t xml:space="preserve">Dual-use (most likely)</w:t>
            </w:r>
          </w:p>
        </w:tc>
        <w:tc>
          <w:tcPr>
            <w:tcMar>
              <w:top w:type="dxa" w:w="80"/>
              <w:left w:type="dxa" w:w="120"/>
              <w:bottom w:type="dxa" w:w="80"/>
              <w:right w:type="dxa" w:w="120"/>
            </w:tcMar>
          </w:tcPr>
          <w:p>
            <w:pPr>
              <w:spacing w:after="40"/>
              <w:jc w:val="left"/>
            </w:pPr>
            <w:r>
              <w:rPr>
                <w:b w:val="false"/>
                <w:bCs w:val="false"/>
                <w:color w:val="1B1B1F"/>
                <w:sz w:val="20"/>
                <w:szCs w:val="20"/>
              </w:rPr>
              <w:t xml:space="preserve">Both tools measurably productive, with differentiated strengths. Policy formalises: Copilot for inline completion, Code Review, Chat; Claude Code for agentic multi-file changes, migrations, deep refactors. Both remain sanctioned channels under the AUP.</w:t>
            </w:r>
          </w:p>
        </w:tc>
      </w:tr>
      <w:tr>
        <w:tc>
          <w:tcPr>
            <w:shd w:fill="F3F6FC" w:color="auto" w:val="clear"/>
            <w:tcMar>
              <w:top w:type="dxa" w:w="80"/>
              <w:left w:type="dxa" w:w="120"/>
              <w:bottom w:type="dxa" w:w="80"/>
              <w:right w:type="dxa" w:w="120"/>
            </w:tcMar>
          </w:tcPr>
          <w:p>
            <w:pPr>
              <w:spacing w:after="40"/>
              <w:jc w:val="left"/>
            </w:pPr>
            <w:r>
              <w:rPr>
                <w:b/>
                <w:bCs/>
                <w:color w:val="1F3864"/>
                <w:sz w:val="20"/>
                <w:szCs w:val="20"/>
              </w:rPr>
              <w:t xml:space="preserve">Stop one track</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One tool fails to meet safety, IP or adoption thresholds. That tool is de-scoped; the other proceeds to wave 2 on its own.</w:t>
            </w:r>
          </w:p>
        </w:tc>
      </w:tr>
    </w:tbl>
    <w:p>
      <w:pPr>
        <w:pStyle w:val="Heading2"/>
        <w:spacing w:after="120" w:before="240"/>
      </w:pPr>
      <w:r>
        <w:rPr>
          <w:b/>
          <w:bCs/>
          <w:color w:val="0F1F44"/>
          <w:sz w:val="24"/>
          <w:szCs w:val="24"/>
        </w:rPr>
        <w:t xml:space="preserve">C.7 Cost considerations</w:t>
      </w:r>
    </w:p>
    <w:p>
      <w:pPr>
        <w:pStyle w:val="ListParagraph"/>
        <w:numPr>
          <w:ilvl w:val="0"/>
          <w:numId w:val="2"/>
        </w:numPr>
        <w:spacing w:after="80" w:line="280"/>
      </w:pPr>
      <w:r>
        <w:t xml:space="preserve">Copilot Enterprise: per-seat, predictable, billed via GitHub.</w:t>
      </w:r>
    </w:p>
    <w:p>
      <w:pPr>
        <w:pStyle w:val="ListParagraph"/>
        <w:numPr>
          <w:ilvl w:val="0"/>
          <w:numId w:val="2"/>
        </w:numPr>
        <w:spacing w:after="80" w:line="280"/>
      </w:pPr>
      <w:r>
        <w:t xml:space="preserve">Claude on Foundry: consumption-based (input + output tokens), billed via Azure under MACC. Budget a ceiling for the pilot (e.g. 10-15 seats × expected usage) and alert at 80% via Cost Management.</w:t>
      </w:r>
    </w:p>
    <w:p>
      <w:pPr>
        <w:pStyle w:val="ListParagraph"/>
        <w:numPr>
          <w:ilvl w:val="0"/>
          <w:numId w:val="2"/>
        </w:numPr>
        <w:spacing w:after="80" w:line="280"/>
      </w:pPr>
      <w:r>
        <w:t xml:space="preserve">True-cost comparison at week 13 uses cost-per-accepted-change, not sticker price, so consumption versus per-seat pricing is normalised.</w:t>
      </w:r>
    </w:p>
    <w:p>
      <w:pPr>
        <w:pStyle w:val="Heading2"/>
        <w:spacing w:after="120" w:before="240"/>
      </w:pPr>
      <w:r>
        <w:rPr>
          <w:b/>
          <w:bCs/>
          <w:color w:val="0F1F44"/>
          <w:sz w:val="24"/>
          <w:szCs w:val="24"/>
        </w:rPr>
        <w:t xml:space="preserve">C.8 Additional approvals for this track</w:t>
      </w:r>
    </w:p>
    <w:p>
      <w:pPr>
        <w:pStyle w:val="ListParagraph"/>
        <w:numPr>
          <w:ilvl w:val="0"/>
          <w:numId w:val="2"/>
        </w:numPr>
        <w:spacing w:after="80" w:line="280"/>
      </w:pPr>
      <w:r>
        <w:t xml:space="preserve">DPO sign-off on the Foundry-Claude data flow (addendum to the main Copilot DPIA).</w:t>
      </w:r>
    </w:p>
    <w:p>
      <w:pPr>
        <w:pStyle w:val="ListParagraph"/>
        <w:numPr>
          <w:ilvl w:val="0"/>
          <w:numId w:val="2"/>
        </w:numPr>
        <w:spacing w:after="80" w:line="280"/>
      </w:pPr>
      <w:r>
        <w:t xml:space="preserve">CISO sign-off on the Claude Code agentic-execution threat model and the Dev Box / Codespaces confinement.</w:t>
      </w:r>
    </w:p>
    <w:p>
      <w:pPr>
        <w:pStyle w:val="ListParagraph"/>
        <w:numPr>
          <w:ilvl w:val="0"/>
          <w:numId w:val="2"/>
        </w:numPr>
        <w:spacing w:after="80" w:line="280"/>
      </w:pPr>
      <w:r>
        <w:t xml:space="preserve">Model-risk owner registers Claude Sonnet 4.6 and Claude Opus 4.7 as approved model versions in the AI register with scope = software engineering, pilot phase.</w:t>
      </w:r>
    </w:p>
    <w:p>
      <w:pPr>
        <w:pStyle w:val="ListParagraph"/>
        <w:numPr>
          <w:ilvl w:val="0"/>
          <w:numId w:val="2"/>
        </w:numPr>
        <w:spacing w:after="80" w:line="280"/>
      </w:pPr>
      <w:r>
        <w:t xml:space="preserve">Procurement confirms MACC drawdown and cost alerts are in place before the first prompt is sent.</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6"/>
        <w:sz w:val="18"/>
        <w:szCs w:val="18"/>
      </w:rPr>
      <w:t xml:space="preserve">Page </w:t>
    </w:r>
    <w:r>
      <w:rPr>
        <w:color w:val="5A5A66"/>
        <w:sz w:val="18"/>
        <w:szCs w:val="18"/>
      </w:rPr>
      <w:fldChar w:fldCharType="begin"/>
      <w:instrText xml:space="preserve">PAGE</w:instrText>
      <w:fldChar w:fldCharType="separate"/>
      <w:fldChar w:fldCharType="end"/>
    </w:r>
    <w:r>
      <w:rPr>
        <w:color w:val="5A5A66"/>
        <w:sz w:val="18"/>
        <w:szCs w:val="18"/>
      </w:rPr>
      <w:t xml:space="preserve"> of </w:t>
    </w:r>
    <w:r>
      <w:rPr>
        <w:color w:val="5A5A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66"/>
        <w:sz w:val="18"/>
        <w:szCs w:val="18"/>
      </w:rPr>
      <w:t xml:space="preserve">GitHub Copilot Rollout Plan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360"/>
    </w:pPr>
    <w:rPr>
      <w:rFonts w:ascii="Calibri" w:cs="Calibri" w:eastAsia="Calibri" w:hAnsi="Calibri"/>
      <w:b/>
      <w:bCs/>
      <w:color w:val="1F3864"/>
      <w:sz w:val="30"/>
      <w:szCs w:val="30"/>
    </w:rPr>
  </w:style>
  <w:style w:type="paragraph" w:styleId="Heading2">
    <w:name w:val="Heading 2"/>
    <w:basedOn w:val="Normal"/>
    <w:pPr>
      <w:spacing w:after="120" w:before="240"/>
    </w:pPr>
    <w:rPr>
      <w:rFonts w:ascii="Calibri" w:cs="Calibri" w:eastAsia="Calibri" w:hAnsi="Calibri"/>
      <w:b/>
      <w:bCs/>
      <w:color w:val="0F1F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Copilot Rollout Plan v1.1</dc:title>
  <dc:creator>Head of AI &amp; Automation</dc:creator>
  <cp:lastModifiedBy>Un-named</cp:lastModifiedBy>
  <cp:revision>1</cp:revision>
  <dcterms:created xsi:type="dcterms:W3CDTF">2026-04-22T15:00:25.542Z</dcterms:created>
  <dcterms:modified xsi:type="dcterms:W3CDTF">2026-04-22T15:00:25.543Z</dcterms:modified>
</cp:coreProperties>
</file>

<file path=docProps/custom.xml><?xml version="1.0" encoding="utf-8"?>
<Properties xmlns="http://schemas.openxmlformats.org/officeDocument/2006/custom-properties" xmlns:vt="http://schemas.openxmlformats.org/officeDocument/2006/docPropsVTypes"/>
</file>