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color w:val="1F3864"/>
          <w:sz w:val="48"/>
          <w:szCs w:val="48"/>
        </w:rPr>
        <w:t xml:space="preserve">90-Day Plan</w:t>
      </w:r>
    </w:p>
    <w:p>
      <w:pPr>
        <w:spacing w:after="60"/>
        <w:jc w:val="center"/>
      </w:pPr>
      <w:r>
        <w:rPr>
          <w:b/>
          <w:bCs/>
          <w:color w:val="0F1F44"/>
          <w:sz w:val="28"/>
          <w:szCs w:val="28"/>
        </w:rPr>
        <w:t xml:space="preserve">Head of AI &amp; Automation — Execution Plan</w:t>
      </w:r>
    </w:p>
    <w:p>
      <w:pPr>
        <w:spacing w:after="40"/>
        <w:jc w:val="center"/>
      </w:pPr>
      <w:r>
        <w:rPr>
          <w:i/>
          <w:iCs/>
          <w:color w:val="5A5A66"/>
          <w:sz w:val="22"/>
          <w:szCs w:val="22"/>
        </w:rPr>
        <w:t xml:space="preserve">Fintech  •  Microsoft + AI Foundry  •  Africa</w:t>
      </w:r>
    </w:p>
    <w:p>
      <w:pPr>
        <w:spacing w:after="280"/>
        <w:jc w:val="center"/>
      </w:pPr>
      <w:r>
        <w:rPr>
          <w:color w:val="5A5A66"/>
          <w:sz w:val="20"/>
          <w:szCs w:val="20"/>
        </w:rPr>
        <w:t xml:space="preserve">Version 1.0  •  Classification: Internal</w:t>
      </w:r>
    </w:p>
    <w:p>
      <w:pPr>
        <w:pBdr>
          <w:bottom w:val="single" w:color="D9D9D9" w:sz="8" w:space="1"/>
        </w:pBdr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 w:line="300"/>
      </w:pPr>
      <w:r>
        <w:t xml:space="preserve">This plan sets out what the Head of AI &amp; Automation will deliver in the first 90 days in role. It is written to be testable: every commitment has an owner, a date, and a visible output. It is deliberately conservative on scope and ambitious on posture — we will establish the operating model, make the enterprise AI footprint visible and controlled, land two high-signal value proofs, and leave the organisation with a repeatable intake-to-production path.</w:t>
      </w:r>
    </w:p>
    <w:p>
      <w:pPr>
        <w:spacing w:after="120" w:line="300"/>
      </w:pPr>
      <w:r>
        <w:t xml:space="preserve">Three conditions frame the plan. First, Microsoft 365 Copilot has already been deployed enterprise-wide — so this is not a greenfield rollout; it is a posture-and-controls audit plus an expansion and optimisation programme. Second, the approved stack is Microsoft + Azure AI Foundry, which simplifies architecture decisions and compresses vendor onboarding. Third, we operate in a regulated fintech context across multiple African jurisdictions, so every move must be defensible to SARB, CBN and equivalent supervisors and to our Data Protection Officers under POPIA, NDPA and KDPA.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Headline commitments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Day 30 — Operating model stood up: AI Council chartered, framework v1.0 issued, use-case register live, M365 Copilot controls audit complete with remediation plan.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Day 60 — Two value proofs in flight: one Tier-2 copilot in a high-volume operational domain; one developer-productivity proof comparing GitHub Copilot Enterprise vs. Claude Code on Foundry against the same baseline.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Day 90 — Portfolio and scale: 2–3 use cases in production or pilot, first quarterly Board Risk Committee update delivered, 12-month roadmap and investment case signed off.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Guiding Principles for the 90 Days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Move at the speed of trust. Spend the first two weeks listening — to regulators, risk, engineering, the business and the DPO — before issuing anything.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Make the invisible visible. The biggest risk is AI that is already running without controls. We discover and register before we approve more.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Prefer small reversible bets. Choose use cases where failure is cheap, success is measurable, and we learn something either 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Governance and velocity are not opposites. A lightweight, enforced intake is faster than ungoverned sprawl, because it prevents rework and regulatory escalations.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 concrete wins beat one abstract strategy. By Day 90 leadership should be able to point to a running system the business actually uses.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Day 1–30 — Listen, Make Visible, Anchor</w:t>
      </w:r>
    </w:p>
    <w:p>
      <w:pPr>
        <w:spacing w:after="120" w:line="300"/>
      </w:pPr>
      <w:r>
        <w:t xml:space="preserve">The first 30 days focus on establishing ground truth and standing up the operating model. We do not approve net-new AI systems in this window unless they are already committed or there is a clear business-continuity reason.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1.1 Listening tour</w:t>
      </w:r>
    </w:p>
    <w:p>
      <w:pPr>
        <w:spacing w:after="120" w:line="300"/>
      </w:pPr>
      <w:r>
        <w:t xml:space="preserve">Structured 1:1 and small-group meetings across stakeholder groups, with a written summary issued on Day 21.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pct" w:w="4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Meeting purpose</w:t>
            </w:r>
          </w:p>
        </w:tc>
        <w:tc>
          <w:tcPr>
            <w:tcW w:type="pct" w:w="2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CEO, CFO, COO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Confirm strategic priorities, risk appetite, and what a good Day-90 looks like.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Written alignment note.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CIO / CTO, Head of Engineering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Review current tooling, platform roadmap, delivery metrics, prior AI attempts.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Architecture debt list.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CISO, Head of IT Risk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Identity, data egress, DLP, threat model for AI; Sentinel coverage; red-team posture.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Control gap register.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CRO, Head of Model Risk, DPO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Model inventory, POPIA/NDPA/KDPA posture, model-risk framework status.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Risk and privacy baseline.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General Counsel, 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Regulatory interpretation posture (SARB, CBN, CMA, BoG), AI disclosure requirements.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Legal horizon scan.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Business heads (Retail, Business, Ops, CX)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Pain points, candidate use cases, appetite for copilot adoption in their teams.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Ranked use-case long list.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Frontline — agents, relationship managers, dev 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Where is time actually lost? What is already being used (licit or shadow)?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Shadow-AI inventory.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External — Microsoft, Big-4, peer CIOs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Reference architectures, peer benchmarks, Foundry roadmap, pricing leverage.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Vendor engagement plan.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1.2 M365 Copilot controls audit (already-live footprint)</w:t>
      </w:r>
    </w:p>
    <w:p>
      <w:pPr>
        <w:spacing w:after="120" w:line="300"/>
      </w:pPr>
      <w:r>
        <w:t xml:space="preserve">Because M365 Copilot has already been rolled out to all users, the single highest-value action in Week 1–2 is to audit the existing footprint and close any posture gaps before they surface under audit. This is the opposite of a rollout task — the tool is already in people's hands; we are verifying that the guardrails around it match the risk.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 area</w:t>
            </w:r>
          </w:p>
        </w:tc>
        <w:tc>
          <w:tcPr>
            <w:tcW w:type="pct" w:w="5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check</w:t>
            </w:r>
          </w:p>
        </w:tc>
        <w:tc>
          <w:tcPr>
            <w:tcW w:type="pct" w:w="2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Identity and licensing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All Copilot users are in Entra ID, MFA enforced, conditional access aligned, break-glass accounts separated, service-principal use reviewed.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IAM lead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Data boundary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Confirm tenant data is not used to train Microsoft's foundation models. Verify EU / regional data residency settings and in-geo processing commitments.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DPO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Sensitivity labels (Purview)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Confidential and Restricted labels enforced; label-inheritance on Copilot outputs; blocked access to unlabelled high-risk SharePoint sites.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Information Protection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Oversharing and access review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SharePoint / OneDrive oversharing scan; Copilot access reviews on sites with customer PII; legacy 'Everyone except external users' groups removed or restricted.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SharePoint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DLP and prompt protection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Purview DLP policies cover Copilot prompts and responses; high-risk data patterns (card data, ID numbers) blocked or warned.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CISO office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Audit and eDiscovery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Copilot interactions flow into Purview Audit and are discoverable for regulatory and HR matters; retention policies aligned.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Usage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Copilot Dashboard baseline: adoption, active users, top use patterns; cost-per-active-user; identify dormant licences for reallocation.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AI &amp; Automation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User readiness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Verify Acceptable Use training completion, sample prompt-and-response review on low-risk content, feedback channel active.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HR / L&amp;D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Incident readiness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Playbook exists for a Copilot-surfaced data leak; integrated with Sentinel and the AI incident process in the Governance Framework §11.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SOC</w:t>
            </w:r>
          </w:p>
        </w:tc>
      </w:tr>
    </w:tbl>
    <w:p>
      <w:pPr>
        <w:spacing w:after="80"/>
      </w:pPr>
      <w:r>
        <w:rPr>
          <w:i/>
          <w:iCs/>
          <w:color w:val="5A5A66"/>
          <w:sz w:val="20"/>
          <w:szCs w:val="20"/>
        </w:rPr>
        <w:t xml:space="preserve">Output: a signed M365 Copilot Controls Audit report by Day 25 with a remediation plan. Any Red findings are assigned to a named owner with a fix-by date, and the largest three are reported in the Day-30 status update.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1.3 Stand up the operating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Issue the AI Governance Framework v1.0 (this package) and socialise with ExCo, CISO, CRO, DPO, GC.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Charter the AI Council. Confirm permanent members (see Framework §4.1), set first meeting in Week 3, issue monthly cadence.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Stand up the AI Use-Case Register (SharePoint list backed by Purview; or Dataverse if Copilot Studio governance is adopted).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Publish the Use-Case Intake Form (Framework Appendix A) and open the intake inbox.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Confirm Acceptable Use Policy (Framework §10) is communicated and attested by all users via HR system; target 100% attestation by Day 30.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 an immediate shadow-AI amnesty: 14-day window where teams self-declare AI tools already in use without penalty. Register everything declared.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1.4 Initial AI Foundry foundation (thin)</w:t>
      </w:r>
    </w:p>
    <w:p>
      <w:pPr>
        <w:spacing w:after="120" w:line="300"/>
      </w:pPr>
      <w:r>
        <w:t xml:space="preserve">The goal is a thin, defensible platform — not a full build-out. Details live in the Sandbox Reference Architecture document. Day 30 target is an empty-but-secure landing zone, not a populated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Azure landing zone for AI: dedicated subscriptions for Dev, Non-Prod, Prod; Azure Policy initiative applied; private networking baselined.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One Foundry hub + one Dev project stood up; Entra groups wired; Key Vault, Log Analytics, Defender for Cloud enabled.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Approved-model list registered: Azure OpenAI GPT-4.1 / GPT-5 class, Claude Sonnet 4.6 and Haiku 4.5 on Foundry (Opus 4.7 pending cost-control sign-off), embedding models.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Baseline evaluations, content-safety filters, PII redaction and prompt-shield applied to the Dev project.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1.5 Day-30 exit criteria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gate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AI Governance Framework v1.0 issued and acknowledged by ExCo.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Signed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AI Council chartered with first meeting held and minutes issued.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First meeting held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Use-case intake open; register live with at least the M365 Copilot entry and Shadow-AI amnesty declarations.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≥ 10 entries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M365 Copilot controls audit complete with remediation plan; top 3 Red findings have named owners and fix-by dates.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Report signed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Foundry Dev landing zone live with approved-model list and content safety.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Acceptable Use attestation at ≥ 95% of active users.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Listening-tour summary circulated with ranked use-case long list (≥ 15 candidates).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Issued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Day 31–60 — Prove, Pilot, Pressure-Test</w:t>
      </w:r>
    </w:p>
    <w:p>
      <w:pPr>
        <w:spacing w:after="120" w:line="300"/>
      </w:pPr>
      <w:r>
        <w:t xml:space="preserve">The second 30 days move from posture to evidence. Two value proofs are chosen from the use-case long list, one business-facing and one developer-facing, and run through the Framework's intake-to-pilot gates. A controls pressure-test (red team) is executed on the M365 Copilot posture from Day-30 remediation.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2.1 Use-case portfolio — selection criteria</w:t>
      </w:r>
    </w:p>
    <w:p>
      <w:pPr>
        <w:spacing w:after="120" w:line="300"/>
      </w:pPr>
      <w:r>
        <w:t xml:space="preserve">We select from the long list produced in Day 1–30. The selection bar is written down so the choice is defensible to the Council and to the Board: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High and measurable value (time saved, revenue captured, risk reduced) with a clear hypothesis.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Tier 2 or below — no decisioning use cases in the first window; decisioning waits for full validation framework.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Clean data environment — the data exists, is governed, and is already classified under Purview.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Business sponsor with skin in the game — a named executive who will use the system and present the outcome at Day-90.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Reversible — can be paused or withdrawn without material customer or financial impact.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2.2 Value proof 1 — operational copilot (business-facing)</w:t>
      </w:r>
    </w:p>
    <w:p>
      <w:pPr>
        <w:spacing w:after="120" w:line="300"/>
      </w:pPr>
      <w:r>
        <w:t xml:space="preserve">Representative candidate (subject to Council confirmation): a copilot for Contact Centre or Client Services agents that retrieves relevant product, policy and account information and drafts responses. Deployed initially to a volunteer squad of 15–25 agents, with before/after measurement.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7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Approach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Retrieval-Augmented Generation (RAG) over curated product and policy content; Azure OpenAI with content safety; Copilot Studio for the UX shell.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Tier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Tier 2 (advisory to agent; does not commit the bank; agent remains accountable).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Metrics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Average handle time, first-contact resolution, post-call survey score, policy-citation accuracy (human-audited weekly).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Guardrails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Response grounded in citations; refusal-to-answer on off-scope queries; red flags surfaced to supervisor; full audit log.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Exit 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Day-60: pilot live with ≥ 15 agents and baseline vs. pilot metrics captured weekly. Day-90: go/no-go decision with evidence pack.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2.3 Value proof 2 — developer productivity bake-off</w:t>
      </w:r>
    </w:p>
    <w:p>
      <w:pPr>
        <w:spacing w:after="120" w:line="300"/>
      </w:pPr>
      <w:r>
        <w:t xml:space="preserve">Run the parallel pilot defined in the GitHub Copilot Rollout Plan §2.1 and Appendix C: GitHub Copilot Enterprise vs. Claude Code on Foundry on the same baseline, with 12–15 engineers per track across comparable workloads. Both tools feed through the same DORA + quality metrics pipeline.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Day 35 — pilot squads selected and baselined (two sprints of pre-pilot DORA data captured).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Day 45 — both tracks live; weekly pulse check with squad leads.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Day 55 — interim read-out to AI Council with initial metrics.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Day 60 — pilot continues; decision point scheduled for Day 75–90.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2.4 Controls pressure-test (red team)</w:t>
      </w:r>
    </w:p>
    <w:p>
      <w:pPr>
        <w:spacing w:after="120" w:line="300"/>
      </w:pPr>
      <w:r>
        <w:t xml:space="preserve">A targeted red-team exercise on the M365 Copilot posture and the new Foundry landing zone, scoped to verify that the Day-30 remediation actually holds 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Prompt-injection scenarios against a test M365 Copilot tenant using staged documents.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Oversharing check: can a junior role surface confidential HR or finance content through Copilot that it should not see?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Data-exfiltration scenarios against the Foundry Dev project — DLP coverage on egress, Key Vault access patterns, model-endpoint abuse.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Output: red-team report with findings classified High / Medium / Low, remediation timelines, and re-test plan.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2.5 Governance discipline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Second AI Council meeting held — approvals for the two value proofs recorded; shadow-AI amnesty cases dispositioned.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Model / tool approval list updated (Framework §7) as needed; any new tools from the shadow-AI amnesty either approved, migrated to an approved equivalent, or blocked.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First monthly AI metrics pack issued (Framework §13): portfolio posture, adoption, incidents, cost.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2.6 Day-60 exit criteria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gate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Operational copilot pilot live with ≥ 15 users and weekly metrics captured.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Live &amp; measured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GitHub Copilot vs. Claude Code parallel pilot live with baselined squads.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Both tracks live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Red-team report issued; High findings closed or on a named remediation plan.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Signed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Shadow-AI amnesty cases closed — every item approved, replaced, or blocked.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All dispositioned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Second AI Council held; monthly AI metrics pack v1 issued.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Issued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Day 61–90 — Scale, Decide, Institutionalise</w:t>
      </w:r>
    </w:p>
    <w:p>
      <w:pPr>
        <w:spacing w:after="120" w:line="300"/>
      </w:pPr>
      <w:r>
        <w:t xml:space="preserve">The last 30 days convert evidence into decisions. We run the formal go/no-go on the two proofs, ship the 12-month roadmap and investment case, and hold the first Board Risk Committee deep-review.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3.1 Go / no-go decisions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Operational copilot: go-live decision to a larger squad (target 60–100 agents) if pilot metrics meet pre-agreed thresholds; otherwise iterate-or-retire with a written rationale.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Developer tool bake-off: decide whether to scale on GitHub Copilot Enterprise alone, dual-track for specific workloads, or adopt Claude Code on Foundry for a specific engineer cohort. Decision documented with the full metrics pack.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3.2 12-month roadmap and investment case</w:t>
      </w:r>
    </w:p>
    <w:p>
      <w:pPr>
        <w:spacing w:after="120" w:line="300"/>
      </w:pPr>
      <w:r>
        <w:t xml:space="preserve">A Now / Next / Later view covering the next four quarters, with a bounded investment case (see the Business Case &amp; Budget document for details). It should include: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Portfolio: 6–10 named use cases with tier, sponsor, stage, expected value and investment.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Platform: Foundry maturity curve (Dev → Prod), Copilot Studio governance, agent framework, evaluation pipeline.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People: hiring plan for the AI &amp; Automation function (see §3.4).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Financials: run-rate by cost category, sensitivity scenarios, benefits realisation curve.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3.3 Board Risk Committee deep-review</w:t>
      </w:r>
    </w:p>
    <w:p>
      <w:pPr>
        <w:spacing w:after="120" w:line="300"/>
      </w:pPr>
      <w:r>
        <w:t xml:space="preserve">First quarterly deep-review pack, covering: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Portfolio snapshot — tiers, pilots, production, incidents.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M365 Copilot posture — audit outcomes, remediation progress, red-team results.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Regulatory horizon — POPIA / NDPA / KDPA; SARB / CBN / CMA / BoG positioning; EU AI Act relevance; ISO 42001 gap.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Ask — investment case, hiring plan, cross-functional commitments needed.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3.4 People and partners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 &amp; Automation function target shape: Head; AI Platform Engineer; ML / MLOps Engineer; AI Governance Lead; AI Product Manager; solutions partners x2 (Council on secondment).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Confirm first two hires or internal moves — typically AI Governance Lead and AI Platform Engineer as they unblock everything else.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Microsoft co-sell / AI Design Win engagement confirmed and Microsoft funding / credits secured where available.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Partner bench: 1–2 implementation partners for surge capacity; 1 independent validator for Tier-1 model review.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3.5 Day-90 exit criteria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gate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Operational copilot go/no-go decision made with evidence; scale decision documented.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Decided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Developer tool bake-off decision documented and communicated.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Decided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12-month roadmap and investment case approved by ExCo.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Signed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Board Risk Committee deep-review held with written pack tabled.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Held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First two hires / internal moves into AI &amp; Automation function confirmed.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Offers out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Portfolio: 2–3 use cases in pilot or production; ≥ 15 in the register.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Live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Governance of the Plan Itself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Weekly status update to the CIO/CTO; monthly status to ExCo; quarterly to Board Risk Committee.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Plan on-a-page tracked in a single dashboard — green / amber / red by workstream — reviewed every Monday.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Variance from plan is flagged early with a named cause and a proposed adjustment; plans do not silently slip.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deliverable lands with a written artefact stored in the AI &amp; Automation SharePoint site, not just a verbal update.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Key Risks and Mitigations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1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 × Impact</w:t>
            </w:r>
          </w:p>
        </w:tc>
        <w:tc>
          <w:tcPr>
            <w:tcW w:type="pct" w:w="5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M365 Copilot oversharing leaks confidential content before audit lands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M × 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Day-1 priority audit; temporary Purview label restrictions on highest-risk sites; SOC on heightened monitoring until Day 25.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Shadow-AI tools continue after amnesty window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E2A72E"/>
                <w:sz w:val="20"/>
                <w:szCs w:val="20"/>
              </w:rPr>
              <w:t xml:space="preserve">H × M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Post-amnesty, egress DLP blocks unapproved AI endpoints; HR policy updates make unregistered use a disciplinary matter.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Council captured by loudest voices, fast-track used to bypass controls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E2A72E"/>
                <w:sz w:val="20"/>
                <w:szCs w:val="20"/>
              </w:rPr>
              <w:t xml:space="preserve">M × 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Tier criteria (Framework §5) documented and audited; Chair logs every Tier-reduction with rationale; quarterly independent review.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Pilot success → scope creep; teams launch before validation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M × H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Framework §6 stages are gates, not stages; acceptance letter is a hard control; DevOps pipelines block unregistered models from Prod.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Hiring / partner capacity slips; plan stalls at Day 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E2A72E"/>
                <w:sz w:val="20"/>
                <w:szCs w:val="20"/>
              </w:rPr>
              <w:t xml:space="preserve">M × 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Backfill from partner bench for up to 90 days; prioritise AI Governance Lead hire; CIO loan-out engineer for Foundry platform work.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Regulator raises AI concerns mid-cycle (SARB / CBN / DPO)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E2A72E"/>
                <w:sz w:val="20"/>
                <w:szCs w:val="20"/>
              </w:rPr>
              <w:t xml:space="preserve">L × H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Governance Framework written pre-emptively to meet the bar; proactive DPO and compliance engagement; ability to pause specific use cases within 24 hours.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Dependencies and Asks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ExCo — endorsement of the AI Governance Framework and the AI Council charter within two weeks of issue.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CIO / CTO — platform engineering capacity for Foundry landing zone (two engineers, part-time, for 30 days).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CISO — red-team time-box (1 week) in Day 45–55 and integration of Copilot events into Sentinel.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CRO / DPO — co-authorship of use-case assessment templates and sign-off on data boundary posture by Day 20.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HR / L&amp;D — Acceptable Use attestation campaign in first 2 weeks and role-level AI training path within 60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Finance — budget envelope for platform and pilots under existing Azure commit, plus ring-fenced T&amp;M for pilot measurement (see Business Case document).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Microsoft — accelerated access to Foundry features (Claude models, agent frameworks), design-win funding, Purview tuning support.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Communications Plan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pct" w:w="2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 &amp; cadence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ExCo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Monthly written update + standing agenda slot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Plan progress, risks, decisions needed, material incidents.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Board Risk Committee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Quarterly deep-review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Portfolio posture, material changes, regulatory horizon, hiring.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AI Council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Monthly standing; ad-hoc for incidents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Approvals, portfolio, incident log, policy changes.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All staff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Monthly digest + intranet hub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What's approved, how to propose a use case, wins and lessons.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Bi-weekly community of practice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Copilot tips, pilot telemetry, architecture patterns, office hours.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Regulators / DPO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On-request + scheduled briefings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Framework pack, incident summaries, portfolio under supervision.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Appendix A: Week-by-Week Snapshot</w:t>
      </w:r>
    </w:p>
    <w:p>
      <w:pPr>
        <w:spacing w:after="80"/>
      </w:pPr>
      <w:r>
        <w:rPr>
          <w:i/>
          <w:iCs/>
          <w:color w:val="5A5A66"/>
          <w:sz w:val="20"/>
          <w:szCs w:val="20"/>
        </w:rPr>
        <w:t xml:space="preserve">A condensed view for the programme dashboard. Owners are named on the live plan.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focus</w:t>
            </w:r>
          </w:p>
        </w:tc>
        <w:tc>
          <w:tcPr>
            <w:tcW w:type="pct" w:w="6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Listen, triage, audit kick-off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Stakeholder schedule locked; M365 Copilot audit launched; AI Council charter circulated.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Shadow-AI amnesty; Foundry baseline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Amnesty window opened; Foundry landing zone design approved; AUP attestation campaign started.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Operating model live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First AI Council meeting; intake register open; framework v1.0 issued.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Close listening; finalise audit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Listening-tour summary; M365 Copilot audit signed; Foundry Dev live.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Select value proofs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Use-case selection presented to Council; pilot squads identified.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Baseline metrics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DORA + quality baseline captured; operational copilot data loaded; pilot plans signed.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Pilots live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Operational copilot in the hands of first agents; dev bake-off starts.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W8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Red team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Red-team exercise run; findings triaged.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Interim read-out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Second Council; monthly metrics pack v1; red-team remediation on track.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W10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Roadmap draft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Now/Next/Later roadmap draft; investment case draft; hiring plan drafted.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Go / no-go prep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Evidence packs finalised; ExCo pre-read issued; hiring interviews underway.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W12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Decisions, Board review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Go/no-go decisions taken; roadmap approved; BRC deep-review held.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8"/>
        <w:szCs w:val="18"/>
      </w:rPr>
      <w:t xml:space="preserve">Page </w:t>
    </w:r>
    <w:r>
      <w:rPr>
        <w:color w:val="5A5A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66"/>
        <w:sz w:val="18"/>
        <w:szCs w:val="18"/>
      </w:rPr>
      <w:t xml:space="preserve"> of </w:t>
    </w:r>
    <w:r>
      <w:rPr>
        <w:color w:val="5A5A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66"/>
        <w:sz w:val="18"/>
        <w:szCs w:val="18"/>
      </w:rPr>
      <w:t xml:space="preserve">90-Day Plan  •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pPr>
      <w:spacing w:after="120" w:before="240"/>
    </w:pPr>
    <w:rPr>
      <w:rFonts w:ascii="Calibri" w:cs="Calibri" w:eastAsia="Calibri" w:hAnsi="Calibri"/>
      <w:b/>
      <w:bCs/>
      <w:color w:val="0F1F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90-Day Plan v1.0</dc:title>
  <dc:creator>Head of AI &amp; Automation</dc:creator>
  <cp:lastModifiedBy>Un-named</cp:lastModifiedBy>
  <cp:revision>1</cp:revision>
  <dcterms:created xsi:type="dcterms:W3CDTF">2026-04-22T15:34:20.753Z</dcterms:created>
  <dcterms:modified xsi:type="dcterms:W3CDTF">2026-04-22T15:34:20.753Z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