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0"/>
          <w:szCs w:val="40"/>
        </w:rPr>
        <w:t xml:space="preserve">AI &amp; Automation — Business Case &amp; Budget</w:t>
      </w:r>
    </w:p>
    <w:p>
      <w:pPr>
        <w:spacing w:after="60"/>
        <w:jc w:val="center"/>
      </w:pPr>
      <w:r>
        <w:rPr>
          <w:b/>
          <w:bCs/>
          <w:color w:val="0F1F44"/>
          <w:sz w:val="26"/>
          <w:szCs w:val="26"/>
        </w:rPr>
        <w:t xml:space="preserve">12-Month Investment Case (FY-Year 1)</w:t>
      </w:r>
    </w:p>
    <w:p>
      <w:pPr>
        <w:spacing w:after="40"/>
        <w:jc w:val="center"/>
      </w:pPr>
      <w:r>
        <w:rPr>
          <w:i/>
          <w:iCs/>
          <w:color w:val="5A5A66"/>
          <w:sz w:val="22"/>
          <w:szCs w:val="22"/>
        </w:rPr>
        <w:t xml:space="preserve">Fintech  •  Microsoft + AI Foundry  •  Africa</w:t>
      </w:r>
    </w:p>
    <w:p>
      <w:pPr>
        <w:spacing w:after="280"/>
        <w:jc w:val="center"/>
      </w:pPr>
      <w:r>
        <w:rPr>
          <w:color w:val="5A5A66"/>
          <w:sz w:val="20"/>
          <w:szCs w:val="20"/>
        </w:rPr>
        <w:t xml:space="preserve">Version 1.0  •  Head of AI &amp; Automation  •  Classification: Internal</w:t>
      </w:r>
    </w:p>
    <w:p>
      <w:pPr>
        <w:pBdr>
          <w:bottom w:val="single" w:color="D9D9D9" w:sz="8" w:space="1"/>
        </w:pBdr>
      </w:pPr>
    </w:p>
    <w:p>
      <w:pPr>
        <w:pStyle w:val="Heading1"/>
        <w:spacing w:after="160" w:before="360"/>
      </w:pPr>
      <w:r>
        <w:rPr>
          <w:b/>
          <w:bCs/>
          <w:color w:val="1F3864"/>
          <w:sz w:val="30"/>
          <w:szCs w:val="30"/>
        </w:rPr>
        <w:t xml:space="preserve">Executive Summary</w:t>
      </w:r>
    </w:p>
    <w:p>
      <w:pPr>
        <w:spacing w:after="120" w:line="300"/>
      </w:pPr>
      <w:r>
        <w:t xml:space="preserve">This business case requests approval for a focused, capped investment to stand up the AI &amp; Automation function, extract value from the already-deployed Microsoft 365 Copilot footprint, and run two high-signal value proofs (one operational copilot, one developer-productivity bake-off). The case is written conservatively: upside is named but not claimed, costs are bounded, and exit ramps are defined at each gate.</w:t>
      </w:r>
    </w:p>
    <w:p>
      <w:pPr>
        <w:spacing w:after="120" w:line="300"/>
      </w:pPr>
      <w:r>
        <w:t xml:space="preserve">Microsoft 365 Copilot licences for the enterprise workforce have already been procured and are live. Those licence costs are not part of this incremental ask. This case covers the incremental platform, governance, pilots and people needed to make that existing investment safer, more measurable and more productive — and to build the operating model for every AI use case that follows.</w:t>
      </w:r>
    </w:p>
    <w:p>
      <w:pPr>
        <w:pStyle w:val="Heading2"/>
        <w:spacing w:after="120" w:before="240"/>
      </w:pPr>
      <w:r>
        <w:rPr>
          <w:b/>
          <w:bCs/>
          <w:color w:val="0F1F44"/>
          <w:sz w:val="24"/>
          <w:szCs w:val="24"/>
        </w:rPr>
        <w:t xml:space="preserve">Headline numbers (indicative, finalise with Finance)</w:t>
      </w:r>
    </w:p>
    <w:p>
      <w:pPr>
        <w:spacing w:after="80"/>
      </w:pPr>
      <w:r>
        <w:rPr>
          <w:i/>
          <w:iCs/>
          <w:color w:val="5A5A66"/>
          <w:sz w:val="20"/>
          <w:szCs w:val="20"/>
        </w:rPr>
        <w:t xml:space="preserve">Currency: USD. All figures are point estimates for planning; actuals are tracked monthly. Local entity billing is handled under the existing Microsoft Azure Consumption Commitment (MACC).</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48%"/>
            <w:shd w:fill="1F3864" w:color="auto" w:val="clear"/>
            <w:tcMar>
              <w:top w:type="dxa" w:w="80"/>
              <w:left w:type="dxa" w:w="120"/>
              <w:bottom w:type="dxa" w:w="80"/>
              <w:right w:type="dxa" w:w="120"/>
            </w:tcMar>
          </w:tcPr>
          <w:p>
            <w:pPr>
              <w:spacing w:after="40"/>
              <w:jc w:val="left"/>
            </w:pPr>
            <w:r>
              <w:rPr>
                <w:b/>
                <w:bCs/>
                <w:color w:val="FFFFFF"/>
                <w:sz w:val="20"/>
                <w:szCs w:val="20"/>
              </w:rPr>
              <w:t xml:space="preserve">Line</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Year-1 ($K)</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Run-rate ($K/yr)</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Funded from</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Platform &amp; consumption (Azure + Foundry + Claude on Foundry)</w:t>
            </w:r>
          </w:p>
        </w:tc>
        <w:tc>
          <w:tcPr>
            <w:tcMar>
              <w:top w:type="dxa" w:w="80"/>
              <w:left w:type="dxa" w:w="120"/>
              <w:bottom w:type="dxa" w:w="80"/>
              <w:right w:type="dxa" w:w="120"/>
            </w:tcMar>
          </w:tcPr>
          <w:p>
            <w:pPr>
              <w:spacing w:after="40"/>
              <w:jc w:val="center"/>
            </w:pPr>
            <w:r>
              <w:rPr>
                <w:b w:val="false"/>
                <w:bCs w:val="false"/>
                <w:color w:val="1B1B1F"/>
                <w:sz w:val="20"/>
                <w:szCs w:val="20"/>
              </w:rPr>
              <w:t xml:space="preserve">380</w:t>
            </w:r>
          </w:p>
        </w:tc>
        <w:tc>
          <w:tcPr>
            <w:tcMar>
              <w:top w:type="dxa" w:w="80"/>
              <w:left w:type="dxa" w:w="120"/>
              <w:bottom w:type="dxa" w:w="80"/>
              <w:right w:type="dxa" w:w="120"/>
            </w:tcMar>
          </w:tcPr>
          <w:p>
            <w:pPr>
              <w:spacing w:after="40"/>
              <w:jc w:val="center"/>
            </w:pPr>
            <w:r>
              <w:rPr>
                <w:b w:val="false"/>
                <w:bCs w:val="false"/>
                <w:color w:val="1B1B1F"/>
                <w:sz w:val="20"/>
                <w:szCs w:val="20"/>
              </w:rPr>
              <w:t xml:space="preserve">520</w:t>
            </w:r>
          </w:p>
        </w:tc>
        <w:tc>
          <w:tcPr>
            <w:tcMar>
              <w:top w:type="dxa" w:w="80"/>
              <w:left w:type="dxa" w:w="120"/>
              <w:bottom w:type="dxa" w:w="80"/>
              <w:right w:type="dxa" w:w="120"/>
            </w:tcMar>
          </w:tcPr>
          <w:p>
            <w:pPr>
              <w:spacing w:after="40"/>
              <w:jc w:val="left"/>
            </w:pPr>
            <w:r>
              <w:rPr>
                <w:b w:val="false"/>
                <w:bCs w:val="false"/>
                <w:color w:val="1B1B1F"/>
                <w:sz w:val="20"/>
                <w:szCs w:val="20"/>
              </w:rPr>
              <w:t xml:space="preserve">MACC</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Developer tooling (GitHub Copilot Enterprise + GHAS, Dev Box / ADE)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210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260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IT OpEx</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Governance &amp; platform tooling (Purview tuning, evaluation tooling, partner spend)</w:t>
            </w:r>
          </w:p>
        </w:tc>
        <w:tc>
          <w:tcPr>
            <w:tcMar>
              <w:top w:type="dxa" w:w="80"/>
              <w:left w:type="dxa" w:w="120"/>
              <w:bottom w:type="dxa" w:w="80"/>
              <w:right w:type="dxa" w:w="120"/>
            </w:tcMar>
          </w:tcPr>
          <w:p>
            <w:pPr>
              <w:spacing w:after="40"/>
              <w:jc w:val="center"/>
            </w:pPr>
            <w:r>
              <w:rPr>
                <w:b w:val="false"/>
                <w:bCs w:val="false"/>
                <w:color w:val="1B1B1F"/>
                <w:sz w:val="20"/>
                <w:szCs w:val="20"/>
              </w:rPr>
              <w:t xml:space="preserve">180</w:t>
            </w:r>
          </w:p>
        </w:tc>
        <w:tc>
          <w:tcPr>
            <w:tcMar>
              <w:top w:type="dxa" w:w="80"/>
              <w:left w:type="dxa" w:w="120"/>
              <w:bottom w:type="dxa" w:w="80"/>
              <w:right w:type="dxa" w:w="120"/>
            </w:tcMar>
          </w:tcPr>
          <w:p>
            <w:pPr>
              <w:spacing w:after="40"/>
              <w:jc w:val="center"/>
            </w:pPr>
            <w:r>
              <w:rPr>
                <w:b w:val="false"/>
                <w:bCs w:val="false"/>
                <w:color w:val="1B1B1F"/>
                <w:sz w:val="20"/>
                <w:szCs w:val="20"/>
              </w:rPr>
              <w:t xml:space="preserve">200</w:t>
            </w:r>
          </w:p>
        </w:tc>
        <w:tc>
          <w:tcPr>
            <w:tcMar>
              <w:top w:type="dxa" w:w="80"/>
              <w:left w:type="dxa" w:w="120"/>
              <w:bottom w:type="dxa" w:w="80"/>
              <w:right w:type="dxa" w:w="120"/>
            </w:tcMar>
          </w:tcPr>
          <w:p>
            <w:pPr>
              <w:spacing w:after="40"/>
              <w:jc w:val="left"/>
            </w:pPr>
            <w:r>
              <w:rPr>
                <w:b w:val="false"/>
                <w:bCs w:val="false"/>
                <w:color w:val="1B1B1F"/>
                <w:sz w:val="20"/>
                <w:szCs w:val="20"/>
              </w:rPr>
              <w:t xml:space="preserve">IT OpEx</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People (FTEs, phased)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540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900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Central OpEx</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Training &amp; change (role-level AI academy, partner enablement)</w:t>
            </w:r>
          </w:p>
        </w:tc>
        <w:tc>
          <w:tcPr>
            <w:tcMar>
              <w:top w:type="dxa" w:w="80"/>
              <w:left w:type="dxa" w:w="120"/>
              <w:bottom w:type="dxa" w:w="80"/>
              <w:right w:type="dxa" w:w="120"/>
            </w:tcMar>
          </w:tcPr>
          <w:p>
            <w:pPr>
              <w:spacing w:after="40"/>
              <w:jc w:val="center"/>
            </w:pPr>
            <w:r>
              <w:rPr>
                <w:b w:val="false"/>
                <w:bCs w:val="false"/>
                <w:color w:val="1B1B1F"/>
                <w:sz w:val="20"/>
                <w:szCs w:val="20"/>
              </w:rPr>
              <w:t xml:space="preserve">90</w:t>
            </w:r>
          </w:p>
        </w:tc>
        <w:tc>
          <w:tcPr>
            <w:tcMar>
              <w:top w:type="dxa" w:w="80"/>
              <w:left w:type="dxa" w:w="120"/>
              <w:bottom w:type="dxa" w:w="80"/>
              <w:right w:type="dxa" w:w="120"/>
            </w:tcMar>
          </w:tcPr>
          <w:p>
            <w:pPr>
              <w:spacing w:after="40"/>
              <w:jc w:val="center"/>
            </w:pPr>
            <w:r>
              <w:rPr>
                <w:b w:val="false"/>
                <w:bCs w:val="false"/>
                <w:color w:val="1B1B1F"/>
                <w:sz w:val="20"/>
                <w:szCs w:val="20"/>
              </w:rPr>
              <w:t xml:space="preserve">120</w:t>
            </w:r>
          </w:p>
        </w:tc>
        <w:tc>
          <w:tcPr>
            <w:tcMar>
              <w:top w:type="dxa" w:w="80"/>
              <w:left w:type="dxa" w:w="120"/>
              <w:bottom w:type="dxa" w:w="80"/>
              <w:right w:type="dxa" w:w="120"/>
            </w:tcMar>
          </w:tcPr>
          <w:p>
            <w:pPr>
              <w:spacing w:after="40"/>
              <w:jc w:val="left"/>
            </w:pPr>
            <w:r>
              <w:rPr>
                <w:b w:val="false"/>
                <w:bCs w:val="false"/>
                <w:color w:val="1B1B1F"/>
                <w:sz w:val="20"/>
                <w:szCs w:val="20"/>
              </w:rPr>
              <w:t xml:space="preserve">IT OpEx</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Contingency (15%)</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210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Programme</w:t>
            </w:r>
          </w:p>
        </w:tc>
      </w:tr>
      <w:tr>
        <w:tc>
          <w:tcPr>
            <w:tcMar>
              <w:top w:type="dxa" w:w="80"/>
              <w:left w:type="dxa" w:w="120"/>
              <w:bottom w:type="dxa" w:w="80"/>
              <w:right w:type="dxa" w:w="120"/>
            </w:tcMar>
          </w:tcPr>
          <w:p>
            <w:pPr>
              <w:spacing w:after="40"/>
              <w:jc w:val="left"/>
            </w:pPr>
            <w:r>
              <w:rPr>
                <w:b/>
                <w:bCs/>
                <w:color w:val="1B1B1F"/>
                <w:sz w:val="20"/>
                <w:szCs w:val="20"/>
              </w:rPr>
              <w:t xml:space="preserve">Total Year-1 incremental ask (ex. M365 Copilot licences)</w:t>
            </w:r>
          </w:p>
        </w:tc>
        <w:tc>
          <w:tcPr>
            <w:tcMar>
              <w:top w:type="dxa" w:w="80"/>
              <w:left w:type="dxa" w:w="120"/>
              <w:bottom w:type="dxa" w:w="80"/>
              <w:right w:type="dxa" w:w="120"/>
            </w:tcMar>
          </w:tcPr>
          <w:p>
            <w:pPr>
              <w:spacing w:after="40"/>
              <w:jc w:val="center"/>
            </w:pPr>
            <w:r>
              <w:rPr>
                <w:b/>
                <w:bCs/>
                <w:color w:val="1B1B1F"/>
                <w:sz w:val="20"/>
                <w:szCs w:val="20"/>
              </w:rPr>
              <w:t xml:space="preserve">1,610</w:t>
            </w:r>
          </w:p>
        </w:tc>
        <w:tc>
          <w:tcPr>
            <w:tcMar>
              <w:top w:type="dxa" w:w="80"/>
              <w:left w:type="dxa" w:w="120"/>
              <w:bottom w:type="dxa" w:w="80"/>
              <w:right w:type="dxa" w:w="120"/>
            </w:tcMar>
          </w:tcPr>
          <w:p>
            <w:pPr>
              <w:spacing w:after="40"/>
              <w:jc w:val="center"/>
            </w:pPr>
            <w:r>
              <w:rPr>
                <w:b/>
                <w:bCs/>
                <w:color w:val="1B1B1F"/>
                <w:sz w:val="20"/>
                <w:szCs w:val="20"/>
              </w:rPr>
              <w:t xml:space="preserve">~2,000</w:t>
            </w:r>
          </w:p>
        </w:tc>
        <w:tc>
          <w:tcPr>
            <w:tcMar>
              <w:top w:type="dxa" w:w="80"/>
              <w:left w:type="dxa" w:w="120"/>
              <w:bottom w:type="dxa" w:w="80"/>
              <w:right w:type="dxa" w:w="120"/>
            </w:tcMar>
          </w:tcPr>
          <w:p>
            <w:pPr>
              <w:spacing w:after="40"/>
              <w:jc w:val="left"/>
            </w:pPr>
            <w:r>
              <w:rPr>
                <w:b w:val="false"/>
                <w:bCs w:val="false"/>
                <w:color w:val="1B1B1F"/>
                <w:sz w:val="20"/>
                <w:szCs w:val="20"/>
              </w:rPr>
              <w:t xml:space="preserve"/>
            </w:r>
          </w:p>
        </w:tc>
      </w:tr>
    </w:tbl>
    <w:p>
      <w:pPr>
        <w:spacing w:after="80"/>
      </w:pPr>
      <w:r>
        <w:rPr>
          <w:i/>
          <w:iCs/>
          <w:color w:val="5A5A66"/>
          <w:sz w:val="20"/>
          <w:szCs w:val="20"/>
        </w:rPr>
        <w:t xml:space="preserve">Year-1 figure includes first-time stand-up, pilot costs and hiring ramp; run-rate assumes fully-staffed team and an established portfolio of 6–10 use cases.</w:t>
      </w:r>
    </w:p>
    <w:p>
      <w:pPr>
        <w:pStyle w:val="Heading2"/>
        <w:spacing w:after="120" w:before="240"/>
      </w:pPr>
      <w:r>
        <w:rPr>
          <w:b/>
          <w:bCs/>
          <w:color w:val="0F1F44"/>
          <w:sz w:val="24"/>
          <w:szCs w:val="24"/>
        </w:rPr>
        <w:t xml:space="preserve">Expected return (Year-1, risk-adjusted)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Value stream</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Year-1 benefit ($K)</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Basis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Developer productivity (parallel pilot at ≥ 120 engineers in H2)</w:t>
            </w:r>
          </w:p>
        </w:tc>
        <w:tc>
          <w:tcPr>
            <w:tcMar>
              <w:top w:type="dxa" w:w="80"/>
              <w:left w:type="dxa" w:w="120"/>
              <w:bottom w:type="dxa" w:w="80"/>
              <w:right w:type="dxa" w:w="120"/>
            </w:tcMar>
          </w:tcPr>
          <w:p>
            <w:pPr>
              <w:spacing w:after="40"/>
              <w:jc w:val="center"/>
            </w:pPr>
            <w:r>
              <w:rPr>
                <w:b w:val="false"/>
                <w:bCs w:val="false"/>
                <w:color w:val="1B1B1F"/>
                <w:sz w:val="20"/>
                <w:szCs w:val="20"/>
              </w:rPr>
              <w:t xml:space="preserve">650</w:t>
            </w:r>
          </w:p>
        </w:tc>
        <w:tc>
          <w:tcPr>
            <w:tcMar>
              <w:top w:type="dxa" w:w="80"/>
              <w:left w:type="dxa" w:w="120"/>
              <w:bottom w:type="dxa" w:w="80"/>
              <w:right w:type="dxa" w:w="120"/>
            </w:tcMar>
          </w:tcPr>
          <w:p>
            <w:pPr>
              <w:spacing w:after="40"/>
              <w:jc w:val="left"/>
            </w:pPr>
            <w:r>
              <w:rPr>
                <w:b w:val="false"/>
                <w:bCs w:val="false"/>
                <w:color w:val="1B1B1F"/>
                <w:sz w:val="20"/>
                <w:szCs w:val="20"/>
              </w:rPr>
              <w:t xml:space="preserve">~15% effective capacity uplift on ~120 engineers at loaded cost ~$60K × 60% risk adjustment.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Operational copilot (contact centre / client services)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480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~12% AHT reduction at pilot scale, scaled to ~25% of agent population by month 10; benefit floor only.</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M365 Copilot optimisation (deeper use, reduced dormant licences, new Copilot Studio agents)</w:t>
            </w:r>
          </w:p>
        </w:tc>
        <w:tc>
          <w:tcPr>
            <w:tcMar>
              <w:top w:type="dxa" w:w="80"/>
              <w:left w:type="dxa" w:w="120"/>
              <w:bottom w:type="dxa" w:w="80"/>
              <w:right w:type="dxa" w:w="120"/>
            </w:tcMar>
          </w:tcPr>
          <w:p>
            <w:pPr>
              <w:spacing w:after="40"/>
              <w:jc w:val="center"/>
            </w:pPr>
            <w:r>
              <w:rPr>
                <w:b w:val="false"/>
                <w:bCs w:val="false"/>
                <w:color w:val="1B1B1F"/>
                <w:sz w:val="20"/>
                <w:szCs w:val="20"/>
              </w:rPr>
              <w:t xml:space="preserve">350</w:t>
            </w:r>
          </w:p>
        </w:tc>
        <w:tc>
          <w:tcPr>
            <w:tcMar>
              <w:top w:type="dxa" w:w="80"/>
              <w:left w:type="dxa" w:w="120"/>
              <w:bottom w:type="dxa" w:w="80"/>
              <w:right w:type="dxa" w:w="120"/>
            </w:tcMar>
          </w:tcPr>
          <w:p>
            <w:pPr>
              <w:spacing w:after="40"/>
              <w:jc w:val="left"/>
            </w:pPr>
            <w:r>
              <w:rPr>
                <w:b w:val="false"/>
                <w:bCs w:val="false"/>
                <w:color w:val="1B1B1F"/>
                <w:sz w:val="20"/>
                <w:szCs w:val="20"/>
              </w:rPr>
              <w:t xml:space="preserve">Reclaiming ~10% dormant licences; plus measured hours-saved in Finance, HR, Legal workflows.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Incident and rework avoidance (governance)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200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Expected-loss reduction on 1–2 medium AI incidents avoided; model-risk sign-offs made first-time-right.</w:t>
            </w:r>
          </w:p>
        </w:tc>
      </w:tr>
      <w:tr>
        <w:tc>
          <w:tcPr>
            <w:tcMar>
              <w:top w:type="dxa" w:w="80"/>
              <w:left w:type="dxa" w:w="120"/>
              <w:bottom w:type="dxa" w:w="80"/>
              <w:right w:type="dxa" w:w="120"/>
            </w:tcMar>
          </w:tcPr>
          <w:p>
            <w:pPr>
              <w:spacing w:after="40"/>
              <w:jc w:val="left"/>
            </w:pPr>
            <w:r>
              <w:rPr>
                <w:b/>
                <w:bCs/>
                <w:color w:val="1B1B1F"/>
                <w:sz w:val="20"/>
                <w:szCs w:val="20"/>
              </w:rPr>
              <w:t xml:space="preserve">Total risk-adjusted benefit</w:t>
            </w:r>
          </w:p>
        </w:tc>
        <w:tc>
          <w:tcPr>
            <w:tcMar>
              <w:top w:type="dxa" w:w="80"/>
              <w:left w:type="dxa" w:w="120"/>
              <w:bottom w:type="dxa" w:w="80"/>
              <w:right w:type="dxa" w:w="120"/>
            </w:tcMar>
          </w:tcPr>
          <w:p>
            <w:pPr>
              <w:spacing w:after="40"/>
              <w:jc w:val="center"/>
            </w:pPr>
            <w:r>
              <w:rPr>
                <w:b/>
                <w:bCs/>
                <w:color w:val="1B1B1F"/>
                <w:sz w:val="20"/>
                <w:szCs w:val="20"/>
              </w:rPr>
              <w:t xml:space="preserve">1,680</w:t>
            </w:r>
          </w:p>
        </w:tc>
        <w:tc>
          <w:tcPr>
            <w:tcMar>
              <w:top w:type="dxa" w:w="80"/>
              <w:left w:type="dxa" w:w="120"/>
              <w:bottom w:type="dxa" w:w="80"/>
              <w:right w:type="dxa" w:w="120"/>
            </w:tcMar>
          </w:tcPr>
          <w:p>
            <w:pPr>
              <w:spacing w:after="40"/>
              <w:jc w:val="left"/>
            </w:pPr>
            <w:r>
              <w:rPr>
                <w:b w:val="false"/>
                <w:bCs w:val="false"/>
                <w:color w:val="1B1B1F"/>
                <w:sz w:val="20"/>
                <w:szCs w:val="20"/>
              </w:rPr>
              <w:t xml:space="preserve">~1.0× Year-1 spend; payback inside 12 months.</w:t>
            </w:r>
          </w:p>
        </w:tc>
      </w:tr>
      <w:tr>
        <w:tc>
          <w:tcPr>
            <w:tcMar>
              <w:top w:type="dxa" w:w="80"/>
              <w:left w:type="dxa" w:w="120"/>
              <w:bottom w:type="dxa" w:w="80"/>
              <w:right w:type="dxa" w:w="120"/>
            </w:tcMar>
          </w:tcPr>
          <w:p>
            <w:pPr>
              <w:spacing w:after="40"/>
              <w:jc w:val="left"/>
            </w:pPr>
            <w:r>
              <w:rPr>
                <w:b/>
                <w:bCs/>
                <w:color w:val="2F7D4F"/>
                <w:sz w:val="20"/>
                <w:szCs w:val="20"/>
              </w:rPr>
              <w:t xml:space="preserve">Year-2 run-rate benefit (expected)</w:t>
            </w:r>
          </w:p>
        </w:tc>
        <w:tc>
          <w:tcPr>
            <w:tcMar>
              <w:top w:type="dxa" w:w="80"/>
              <w:left w:type="dxa" w:w="120"/>
              <w:bottom w:type="dxa" w:w="80"/>
              <w:right w:type="dxa" w:w="120"/>
            </w:tcMar>
          </w:tcPr>
          <w:p>
            <w:pPr>
              <w:spacing w:after="40"/>
              <w:jc w:val="center"/>
            </w:pPr>
            <w:r>
              <w:rPr>
                <w:b/>
                <w:bCs/>
                <w:color w:val="2F7D4F"/>
                <w:sz w:val="20"/>
                <w:szCs w:val="20"/>
              </w:rPr>
              <w:t xml:space="preserve">3,500+</w:t>
            </w:r>
          </w:p>
        </w:tc>
        <w:tc>
          <w:tcPr>
            <w:tcMar>
              <w:top w:type="dxa" w:w="80"/>
              <w:left w:type="dxa" w:w="120"/>
              <w:bottom w:type="dxa" w:w="80"/>
              <w:right w:type="dxa" w:w="120"/>
            </w:tcMar>
          </w:tcPr>
          <w:p>
            <w:pPr>
              <w:spacing w:after="40"/>
              <w:jc w:val="left"/>
            </w:pPr>
            <w:r>
              <w:rPr>
                <w:b w:val="false"/>
                <w:bCs w:val="false"/>
                <w:color w:val="1B1B1F"/>
                <w:sz w:val="20"/>
                <w:szCs w:val="20"/>
              </w:rPr>
              <w:t xml:space="preserve">Full-year effect of Year-1 wins + scale-up of 2–3 new use cases.</w:t>
            </w:r>
          </w:p>
        </w:tc>
      </w:tr>
    </w:tbl>
    <w:p>
      <w:pPr>
        <w:spacing w:after="80"/>
      </w:pPr>
      <w:r>
        <w:rPr>
          <w:i/>
          <w:iCs/>
          <w:color w:val="5A5A66"/>
          <w:sz w:val="20"/>
          <w:szCs w:val="20"/>
        </w:rPr>
        <w:t xml:space="preserve">Benefits are stated as risk-adjusted floors. Upside is tracked but not booked in this case; realisation is measured monthly against the benefits plan in §7.</w:t>
      </w:r>
    </w:p>
    <w:p>
      <w:pPr>
        <w:pStyle w:val="Heading1"/>
        <w:spacing w:after="160" w:before="360"/>
      </w:pPr>
      <w:r>
        <w:rPr>
          <w:b/>
          <w:bCs/>
          <w:color w:val="1F3864"/>
          <w:sz w:val="30"/>
          <w:szCs w:val="30"/>
        </w:rPr>
        <w:t xml:space="preserve">Strategic Rationale</w:t>
      </w:r>
    </w:p>
    <w:p>
      <w:pPr>
        <w:pStyle w:val="ListParagraph"/>
        <w:numPr>
          <w:ilvl w:val="0"/>
          <w:numId w:val="2"/>
        </w:numPr>
        <w:spacing w:after="80" w:line="280"/>
      </w:pPr>
      <w:r>
        <w:t xml:space="preserve">We cannot not do this. AI is now a structural part of how financial-services companies operate. Not investing means watching competitors widen a productivity and customer-experience gap that is measurable within 12 months.</w:t>
      </w:r>
    </w:p>
    <w:p>
      <w:pPr>
        <w:pStyle w:val="ListParagraph"/>
        <w:numPr>
          <w:ilvl w:val="0"/>
          <w:numId w:val="2"/>
        </w:numPr>
        <w:spacing w:after="80" w:line="280"/>
      </w:pPr>
      <w:r>
        <w:t xml:space="preserve">M365 Copilot is already in every knowledge worker's hands. Capturing the value of that spend requires a governed environment, measurement, and role-level adoption — none of which happen on their own.</w:t>
      </w:r>
    </w:p>
    <w:p>
      <w:pPr>
        <w:pStyle w:val="ListParagraph"/>
        <w:numPr>
          <w:ilvl w:val="0"/>
          <w:numId w:val="2"/>
        </w:numPr>
        <w:spacing w:after="80" w:line="280"/>
      </w:pPr>
      <w:r>
        <w:t xml:space="preserve">The Microsoft + Foundry stack compresses risk. By standardising on approved Azure services plus carefully selected foundation models (Azure OpenAI, Claude on Foundry for software development), we avoid a sprawl of vendors each demanding separate DPIAs, AML reviews and onboarding.</w:t>
      </w:r>
    </w:p>
    <w:p>
      <w:pPr>
        <w:pStyle w:val="ListParagraph"/>
        <w:numPr>
          <w:ilvl w:val="0"/>
          <w:numId w:val="2"/>
        </w:numPr>
        <w:spacing w:after="80" w:line="280"/>
      </w:pPr>
      <w:r>
        <w:t xml:space="preserve">Regulator expectations are rising. POPIA, NDPA and KDPA enforcement, plus SARB / CBN positions on AI, are converging. Organisations with a written framework and a registered portfolio are defensible; organisations without are exposed.</w:t>
      </w:r>
    </w:p>
    <w:p>
      <w:pPr>
        <w:pStyle w:val="ListParagraph"/>
        <w:numPr>
          <w:ilvl w:val="0"/>
          <w:numId w:val="2"/>
        </w:numPr>
        <w:spacing w:after="80" w:line="280"/>
      </w:pPr>
      <w:r>
        <w:t xml:space="preserve">Developer productivity is the fastest-payback AI investment we can make. With fewer than 200 developers, a 10–20% productivity improvement is worth more than most product initiatives in the same 12-month window.</w:t>
      </w:r>
    </w:p>
    <w:p>
      <w:pPr>
        <w:pStyle w:val="Heading1"/>
        <w:spacing w:after="160" w:before="360"/>
      </w:pPr>
      <w:r>
        <w:rPr>
          <w:b/>
          <w:bCs/>
          <w:color w:val="1F3864"/>
          <w:sz w:val="30"/>
          <w:szCs w:val="30"/>
        </w:rPr>
        <w:t xml:space="preserve">Options Considered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Option</w:t>
            </w:r>
          </w:p>
        </w:tc>
        <w:tc>
          <w:tcPr>
            <w:tcW w:type="pct" w:w="40%"/>
            <w:shd w:fill="1F3864" w:color="auto" w:val="clear"/>
            <w:tcMar>
              <w:top w:type="dxa" w:w="80"/>
              <w:left w:type="dxa" w:w="120"/>
              <w:bottom w:type="dxa" w:w="80"/>
              <w:right w:type="dxa" w:w="120"/>
            </w:tcMar>
          </w:tcPr>
          <w:p>
            <w:pPr>
              <w:spacing w:after="40"/>
              <w:jc w:val="left"/>
            </w:pPr>
            <w:r>
              <w:rPr>
                <w:b/>
                <w:bCs/>
                <w:color w:val="FFFFFF"/>
                <w:sz w:val="20"/>
                <w:szCs w:val="20"/>
              </w:rPr>
              <w:t xml:space="preserve">Description</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Why not / why yes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 Do nothing (hold current posture)</w:t>
            </w:r>
          </w:p>
        </w:tc>
        <w:tc>
          <w:tcPr>
            <w:tcMar>
              <w:top w:type="dxa" w:w="80"/>
              <w:left w:type="dxa" w:w="120"/>
              <w:bottom w:type="dxa" w:w="80"/>
              <w:right w:type="dxa" w:w="120"/>
            </w:tcMar>
          </w:tcPr>
          <w:p>
            <w:pPr>
              <w:spacing w:after="40"/>
              <w:jc w:val="left"/>
            </w:pPr>
            <w:r>
              <w:rPr>
                <w:b w:val="false"/>
                <w:bCs w:val="false"/>
                <w:color w:val="1B1B1F"/>
                <w:sz w:val="20"/>
                <w:szCs w:val="20"/>
              </w:rPr>
              <w:t xml:space="preserve">Leave M365 Copilot as-deployed; no new governance; individual teams evaluate tooling ad hoc.</w:t>
            </w:r>
          </w:p>
        </w:tc>
        <w:tc>
          <w:tcPr>
            <w:tcMar>
              <w:top w:type="dxa" w:w="80"/>
              <w:left w:type="dxa" w:w="120"/>
              <w:bottom w:type="dxa" w:w="80"/>
              <w:right w:type="dxa" w:w="120"/>
            </w:tcMar>
          </w:tcPr>
          <w:p>
            <w:pPr>
              <w:spacing w:after="40"/>
              <w:jc w:val="left"/>
            </w:pPr>
            <w:r>
              <w:rPr>
                <w:b w:val="false"/>
                <w:bCs w:val="false"/>
                <w:color w:val="1B1B1F"/>
                <w:sz w:val="20"/>
                <w:szCs w:val="20"/>
              </w:rPr>
              <w:t xml:space="preserve">Exposed to control gaps around live Copilot footprint; no measurement of ROI on existing spend; regulator risk. Rejected.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 Full enterprise AI programme (&gt;$5M Year-1)</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Build out all six pillars (platform, agents, decisioning, knowledge, data, governance) at scale immediately; 20+ FTEs.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Premature scaling before evidence; higher execution risk; budget-heavy at a time when leadership wants proof. Rejected.</w:t>
            </w:r>
          </w:p>
        </w:tc>
      </w:tr>
      <w:tr>
        <w:tc>
          <w:tcPr>
            <w:tcMar>
              <w:top w:type="dxa" w:w="80"/>
              <w:left w:type="dxa" w:w="120"/>
              <w:bottom w:type="dxa" w:w="80"/>
              <w:right w:type="dxa" w:w="120"/>
            </w:tcMar>
          </w:tcPr>
          <w:p>
            <w:pPr>
              <w:spacing w:after="40"/>
              <w:jc w:val="left"/>
            </w:pPr>
            <w:r>
              <w:rPr>
                <w:b/>
                <w:bCs/>
                <w:color w:val="2F7D4F"/>
                <w:sz w:val="20"/>
                <w:szCs w:val="20"/>
              </w:rPr>
              <w:t xml:space="preserve">C. Focused foundation + two value proofs (recommended)</w:t>
            </w:r>
          </w:p>
        </w:tc>
        <w:tc>
          <w:tcPr>
            <w:tcMar>
              <w:top w:type="dxa" w:w="80"/>
              <w:left w:type="dxa" w:w="120"/>
              <w:bottom w:type="dxa" w:w="80"/>
              <w:right w:type="dxa" w:w="120"/>
            </w:tcMar>
          </w:tcPr>
          <w:p>
            <w:pPr>
              <w:spacing w:after="40"/>
              <w:jc w:val="left"/>
            </w:pPr>
            <w:r>
              <w:rPr>
                <w:b w:val="false"/>
                <w:bCs w:val="false"/>
                <w:color w:val="1B1B1F"/>
                <w:sz w:val="20"/>
                <w:szCs w:val="20"/>
              </w:rPr>
              <w:t xml:space="preserve">Stand up operating model and platform; run two measured pilots; invest behind evidence in Year-2.</w:t>
            </w:r>
          </w:p>
        </w:tc>
        <w:tc>
          <w:tcPr>
            <w:tcMar>
              <w:top w:type="dxa" w:w="80"/>
              <w:left w:type="dxa" w:w="120"/>
              <w:bottom w:type="dxa" w:w="80"/>
              <w:right w:type="dxa" w:w="120"/>
            </w:tcMar>
          </w:tcPr>
          <w:p>
            <w:pPr>
              <w:spacing w:after="40"/>
              <w:jc w:val="left"/>
            </w:pPr>
            <w:r>
              <w:rPr>
                <w:b w:val="false"/>
                <w:bCs w:val="false"/>
                <w:color w:val="1B1B1F"/>
                <w:sz w:val="20"/>
                <w:szCs w:val="20"/>
              </w:rPr>
              <w:t xml:space="preserve">Matches risk appetite; capped spend with ramp gates; payback inside 12 months; scales cleanly. Recommended.</w:t>
            </w:r>
          </w:p>
        </w:tc>
      </w:tr>
    </w:tbl>
    <w:p>
      <w:pPr>
        <w:pStyle w:val="Heading1"/>
        <w:spacing w:after="160" w:before="360"/>
      </w:pPr>
      <w:r>
        <w:rPr>
          <w:b/>
          <w:bCs/>
          <w:color w:val="1F3864"/>
          <w:sz w:val="30"/>
          <w:szCs w:val="30"/>
        </w:rPr>
        <w:t xml:space="preserve">Scope and Assumptions</w:t>
      </w:r>
    </w:p>
    <w:p>
      <w:pPr>
        <w:pStyle w:val="Heading2"/>
        <w:spacing w:after="120" w:before="240"/>
      </w:pPr>
      <w:r>
        <w:rPr>
          <w:b/>
          <w:bCs/>
          <w:color w:val="0F1F44"/>
          <w:sz w:val="24"/>
          <w:szCs w:val="24"/>
        </w:rPr>
        <w:t xml:space="preserve">In scope</w:t>
      </w:r>
    </w:p>
    <w:p>
      <w:pPr>
        <w:pStyle w:val="ListParagraph"/>
        <w:numPr>
          <w:ilvl w:val="0"/>
          <w:numId w:val="2"/>
        </w:numPr>
        <w:spacing w:after="80" w:line="280"/>
      </w:pPr>
      <w:r>
        <w:t xml:space="preserve">AI &amp; Automation function stand-up (people, operating model, AI Council, intake).</w:t>
      </w:r>
    </w:p>
    <w:p>
      <w:pPr>
        <w:pStyle w:val="ListParagraph"/>
        <w:numPr>
          <w:ilvl w:val="0"/>
          <w:numId w:val="2"/>
        </w:numPr>
        <w:spacing w:after="80" w:line="280"/>
      </w:pPr>
      <w:r>
        <w:t xml:space="preserve">Azure AI Foundry landing zone (Dev / Non-Prod / Prod) and governance tooling.</w:t>
      </w:r>
    </w:p>
    <w:p>
      <w:pPr>
        <w:pStyle w:val="ListParagraph"/>
        <w:numPr>
          <w:ilvl w:val="0"/>
          <w:numId w:val="2"/>
        </w:numPr>
        <w:spacing w:after="80" w:line="280"/>
      </w:pPr>
      <w:r>
        <w:t xml:space="preserve">GitHub Copilot Enterprise + GHAS rollout and, in parallel, Claude Code on Foundry pilot.</w:t>
      </w:r>
    </w:p>
    <w:p>
      <w:pPr>
        <w:pStyle w:val="ListParagraph"/>
        <w:numPr>
          <w:ilvl w:val="0"/>
          <w:numId w:val="2"/>
        </w:numPr>
        <w:spacing w:after="80" w:line="280"/>
      </w:pPr>
      <w:r>
        <w:t xml:space="preserve">Microsoft Dev Box + Azure Deployment Environments for self-service dev environments.</w:t>
      </w:r>
    </w:p>
    <w:p>
      <w:pPr>
        <w:pStyle w:val="ListParagraph"/>
        <w:numPr>
          <w:ilvl w:val="0"/>
          <w:numId w:val="2"/>
        </w:numPr>
        <w:spacing w:after="80" w:line="280"/>
      </w:pPr>
      <w:r>
        <w:t xml:space="preserve">Two value proofs (one business-facing, one developer-facing) with measurement and go/no-go.</w:t>
      </w:r>
    </w:p>
    <w:p>
      <w:pPr>
        <w:pStyle w:val="ListParagraph"/>
        <w:numPr>
          <w:ilvl w:val="0"/>
          <w:numId w:val="2"/>
        </w:numPr>
        <w:spacing w:after="80" w:line="280"/>
      </w:pPr>
      <w:r>
        <w:t xml:space="preserve">Role-level AI academy and change programme across top 4 user populations.</w:t>
      </w:r>
    </w:p>
    <w:p>
      <w:pPr>
        <w:pStyle w:val="Heading2"/>
        <w:spacing w:after="120" w:before="240"/>
      </w:pPr>
      <w:r>
        <w:rPr>
          <w:b/>
          <w:bCs/>
          <w:color w:val="0F1F44"/>
          <w:sz w:val="24"/>
          <w:szCs w:val="24"/>
        </w:rPr>
        <w:t xml:space="preserve">Explicitly out of scope for this ask</w:t>
      </w:r>
    </w:p>
    <w:p>
      <w:pPr>
        <w:pStyle w:val="ListParagraph"/>
        <w:numPr>
          <w:ilvl w:val="0"/>
          <w:numId w:val="2"/>
        </w:numPr>
        <w:spacing w:after="80" w:line="280"/>
      </w:pPr>
      <w:r>
        <w:t xml:space="preserve">M365 Copilot user licences — already procured and in use enterprise-wide; excluded from incremental budget.</w:t>
      </w:r>
    </w:p>
    <w:p>
      <w:pPr>
        <w:pStyle w:val="ListParagraph"/>
        <w:numPr>
          <w:ilvl w:val="0"/>
          <w:numId w:val="2"/>
        </w:numPr>
        <w:spacing w:after="80" w:line="280"/>
      </w:pPr>
      <w:r>
        <w:t xml:space="preserve">Infrastructure for heavy generative workloads at scale (e.g. dedicated GPU capacity) — only triggered if a T1 use case is approved with evidence.</w:t>
      </w:r>
    </w:p>
    <w:p>
      <w:pPr>
        <w:pStyle w:val="ListParagraph"/>
        <w:numPr>
          <w:ilvl w:val="0"/>
          <w:numId w:val="2"/>
        </w:numPr>
        <w:spacing w:after="80" w:line="280"/>
      </w:pPr>
      <w:r>
        <w:t xml:space="preserve">Consumer-grade AI tool licences (e.g. personal ChatGPT) — excluded by Acceptable Use Policy.</w:t>
      </w:r>
    </w:p>
    <w:p>
      <w:pPr>
        <w:pStyle w:val="ListParagraph"/>
        <w:numPr>
          <w:ilvl w:val="0"/>
          <w:numId w:val="2"/>
        </w:numPr>
        <w:spacing w:after="80" w:line="280"/>
      </w:pPr>
      <w:r>
        <w:t xml:space="preserve">AI in decisioning (credit, fraud adjudication) — requires separate T1 validation programme; budgeted in Year-2 once evidence base is built.</w:t>
      </w:r>
    </w:p>
    <w:p>
      <w:pPr>
        <w:pStyle w:val="Heading2"/>
        <w:spacing w:after="120" w:before="240"/>
      </w:pPr>
      <w:r>
        <w:rPr>
          <w:b/>
          <w:bCs/>
          <w:color w:val="0F1F44"/>
          <w:sz w:val="24"/>
          <w:szCs w:val="24"/>
        </w:rPr>
        <w:t xml:space="preserve">Key assumptions</w:t>
      </w:r>
    </w:p>
    <w:p>
      <w:pPr>
        <w:pStyle w:val="ListParagraph"/>
        <w:numPr>
          <w:ilvl w:val="0"/>
          <w:numId w:val="2"/>
        </w:numPr>
        <w:spacing w:after="80" w:line="280"/>
      </w:pPr>
      <w:r>
        <w:t xml:space="preserve">Existing MACC envelope absorbs Year-1 Azure + Foundry + Claude-on-Foundry consumption; no separate procurement event required.</w:t>
      </w:r>
    </w:p>
    <w:p>
      <w:pPr>
        <w:pStyle w:val="ListParagraph"/>
        <w:numPr>
          <w:ilvl w:val="0"/>
          <w:numId w:val="2"/>
        </w:numPr>
        <w:spacing w:after="80" w:line="280"/>
      </w:pPr>
      <w:r>
        <w:t xml:space="preserve">No major FX shock; cost estimates use current USD rates; local currency lines re-baselined monthly.</w:t>
      </w:r>
    </w:p>
    <w:p>
      <w:pPr>
        <w:pStyle w:val="ListParagraph"/>
        <w:numPr>
          <w:ilvl w:val="0"/>
          <w:numId w:val="2"/>
        </w:numPr>
        <w:spacing w:after="80" w:line="280"/>
      </w:pPr>
      <w:r>
        <w:t xml:space="preserve">GitHub Copilot Enterprise procured on annual commitment; ~175 developer seats (dev + DevOps + selected product).</w:t>
      </w:r>
    </w:p>
    <w:p>
      <w:pPr>
        <w:pStyle w:val="ListParagraph"/>
        <w:numPr>
          <w:ilvl w:val="0"/>
          <w:numId w:val="2"/>
        </w:numPr>
        <w:spacing w:after="80" w:line="280"/>
      </w:pPr>
      <w:r>
        <w:t xml:space="preserve">Pilot scale: 15–25 users per pilot in first 60 days; scale decision at Day 90.</w:t>
      </w:r>
    </w:p>
    <w:p>
      <w:pPr>
        <w:pStyle w:val="ListParagraph"/>
        <w:numPr>
          <w:ilvl w:val="0"/>
          <w:numId w:val="2"/>
        </w:numPr>
        <w:spacing w:after="80" w:line="280"/>
      </w:pPr>
      <w:r>
        <w:t xml:space="preserve">Regulatory posture remains POPIA / NDPA / KDPA as primary anchors; any material new regulation (e.g. revised SARB position) triggers a case refresh.</w:t>
      </w:r>
    </w:p>
    <w:p>
      <w:pPr>
        <w:pStyle w:val="Heading1"/>
        <w:spacing w:after="160" w:before="360"/>
      </w:pPr>
      <w:r>
        <w:rPr>
          <w:b/>
          <w:bCs/>
          <w:color w:val="1F3864"/>
          <w:sz w:val="30"/>
          <w:szCs w:val="30"/>
        </w:rPr>
        <w:t xml:space="preserve">Detailed Budget (Year-1)</w:t>
      </w:r>
    </w:p>
    <w:p>
      <w:pPr>
        <w:spacing w:after="80"/>
      </w:pPr>
      <w:r>
        <w:rPr>
          <w:i/>
          <w:iCs/>
          <w:color w:val="5A5A66"/>
          <w:sz w:val="20"/>
          <w:szCs w:val="20"/>
        </w:rPr>
        <w:t xml:space="preserve">Phased with a pilot-then-scale gate at Day 90. Q1 captures stand-up and pilot spend; Q2–Q4 ramp is conditional on the Day-90 scale decisions.</w:t>
      </w:r>
    </w:p>
    <w:p>
      <w:pPr>
        <w:pStyle w:val="Heading2"/>
        <w:spacing w:after="120" w:before="240"/>
      </w:pPr>
      <w:r>
        <w:rPr>
          <w:b/>
          <w:bCs/>
          <w:color w:val="0F1F44"/>
          <w:sz w:val="24"/>
          <w:szCs w:val="24"/>
        </w:rPr>
        <w:t xml:space="preserve">Cost category 1 — Platform &amp; consumption (Azure, Foundry, Claude on Foundry)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40%"/>
            <w:shd w:fill="1F3864" w:color="auto" w:val="clear"/>
            <w:tcMar>
              <w:top w:type="dxa" w:w="80"/>
              <w:left w:type="dxa" w:w="120"/>
              <w:bottom w:type="dxa" w:w="80"/>
              <w:right w:type="dxa" w:w="120"/>
            </w:tcMar>
          </w:tcPr>
          <w:p>
            <w:pPr>
              <w:spacing w:after="40"/>
              <w:jc w:val="left"/>
            </w:pPr>
            <w:r>
              <w:rPr>
                <w:b/>
                <w:bCs/>
                <w:color w:val="FFFFFF"/>
                <w:sz w:val="20"/>
                <w:szCs w:val="20"/>
              </w:rPr>
              <w:t xml:space="preserve">Line</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Year-1 ($K)</w:t>
            </w:r>
          </w:p>
        </w:tc>
        <w:tc>
          <w:tcPr>
            <w:tcW w:type="pct" w:w="45%"/>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Azure compute and storage for Foundry hub + projects</w:t>
            </w:r>
          </w:p>
        </w:tc>
        <w:tc>
          <w:tcPr>
            <w:tcMar>
              <w:top w:type="dxa" w:w="80"/>
              <w:left w:type="dxa" w:w="120"/>
              <w:bottom w:type="dxa" w:w="80"/>
              <w:right w:type="dxa" w:w="120"/>
            </w:tcMar>
          </w:tcPr>
          <w:p>
            <w:pPr>
              <w:spacing w:after="40"/>
              <w:jc w:val="center"/>
            </w:pPr>
            <w:r>
              <w:rPr>
                <w:b w:val="false"/>
                <w:bCs w:val="false"/>
                <w:color w:val="1B1B1F"/>
                <w:sz w:val="20"/>
                <w:szCs w:val="20"/>
              </w:rPr>
              <w:t xml:space="preserve">85</w:t>
            </w:r>
          </w:p>
        </w:tc>
        <w:tc>
          <w:tcPr>
            <w:tcMar>
              <w:top w:type="dxa" w:w="80"/>
              <w:left w:type="dxa" w:w="120"/>
              <w:bottom w:type="dxa" w:w="80"/>
              <w:right w:type="dxa" w:w="120"/>
            </w:tcMar>
          </w:tcPr>
          <w:p>
            <w:pPr>
              <w:spacing w:after="40"/>
              <w:jc w:val="left"/>
            </w:pPr>
            <w:r>
              <w:rPr>
                <w:b w:val="false"/>
                <w:bCs w:val="false"/>
                <w:color w:val="1B1B1F"/>
                <w:sz w:val="20"/>
                <w:szCs w:val="20"/>
              </w:rPr>
              <w:t xml:space="preserve">Private networking, Log Analytics, Key Vault, Storage.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Azure OpenAI consumption (PTUs / pay-as-you-go)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140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Mix of GPT-4.1 / GPT-5 class; 40% PTU reservation by Q3.</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Claude on Foundry consumption (Sonnet 4.6, Haiku 4.5, limited Opus 4.7)</w:t>
            </w:r>
          </w:p>
        </w:tc>
        <w:tc>
          <w:tcPr>
            <w:tcMar>
              <w:top w:type="dxa" w:w="80"/>
              <w:left w:type="dxa" w:w="120"/>
              <w:bottom w:type="dxa" w:w="80"/>
              <w:right w:type="dxa" w:w="120"/>
            </w:tcMar>
          </w:tcPr>
          <w:p>
            <w:pPr>
              <w:spacing w:after="40"/>
              <w:jc w:val="center"/>
            </w:pPr>
            <w:r>
              <w:rPr>
                <w:b w:val="false"/>
                <w:bCs w:val="false"/>
                <w:color w:val="1B1B1F"/>
                <w:sz w:val="20"/>
                <w:szCs w:val="20"/>
              </w:rPr>
              <w:t xml:space="preserve">95</w:t>
            </w:r>
          </w:p>
        </w:tc>
        <w:tc>
          <w:tcPr>
            <w:tcMar>
              <w:top w:type="dxa" w:w="80"/>
              <w:left w:type="dxa" w:w="120"/>
              <w:bottom w:type="dxa" w:w="80"/>
              <w:right w:type="dxa" w:w="120"/>
            </w:tcMar>
          </w:tcPr>
          <w:p>
            <w:pPr>
              <w:spacing w:after="40"/>
              <w:jc w:val="left"/>
            </w:pPr>
            <w:r>
              <w:rPr>
                <w:b w:val="false"/>
                <w:bCs w:val="false"/>
                <w:color w:val="1B1B1F"/>
                <w:sz w:val="20"/>
                <w:szCs w:val="20"/>
              </w:rPr>
              <w:t xml:space="preserve">Dev bake-off + high-value Sonnet coding workloads; Opus use-capped.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Defender for Cloud + AI Workload protections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35</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posture management and runtime protection add-ons.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Purview (incremental tuning / labels beyond existing licence)</w:t>
            </w:r>
          </w:p>
        </w:tc>
        <w:tc>
          <w:tcPr>
            <w:tcMar>
              <w:top w:type="dxa" w:w="80"/>
              <w:left w:type="dxa" w:w="120"/>
              <w:bottom w:type="dxa" w:w="80"/>
              <w:right w:type="dxa" w:w="120"/>
            </w:tcMar>
          </w:tcPr>
          <w:p>
            <w:pPr>
              <w:spacing w:after="40"/>
              <w:jc w:val="center"/>
            </w:pPr>
            <w:r>
              <w:rPr>
                <w:b w:val="false"/>
                <w:bCs w:val="false"/>
                <w:color w:val="1B1B1F"/>
                <w:sz w:val="20"/>
                <w:szCs w:val="20"/>
              </w:rPr>
              <w:t xml:space="preserve">25</w:t>
            </w:r>
          </w:p>
        </w:tc>
        <w:tc>
          <w:tcPr>
            <w:tcMar>
              <w:top w:type="dxa" w:w="80"/>
              <w:left w:type="dxa" w:w="120"/>
              <w:bottom w:type="dxa" w:w="80"/>
              <w:right w:type="dxa" w:w="120"/>
            </w:tcMar>
          </w:tcPr>
          <w:p>
            <w:pPr>
              <w:spacing w:after="40"/>
              <w:jc w:val="left"/>
            </w:pPr>
            <w:r>
              <w:rPr>
                <w:b w:val="false"/>
                <w:bCs w:val="false"/>
                <w:color w:val="1B1B1F"/>
                <w:sz w:val="20"/>
                <w:szCs w:val="20"/>
              </w:rPr>
              <w:t xml:space="preserve">Labels, DLP policies, sensitivity extensions for AI flows.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Category total</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380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Funded from MACC where eligible.</w:t>
            </w:r>
          </w:p>
        </w:tc>
      </w:tr>
    </w:tbl>
    <w:p>
      <w:pPr>
        <w:pStyle w:val="Heading2"/>
        <w:spacing w:after="120" w:before="240"/>
      </w:pPr>
      <w:r>
        <w:rPr>
          <w:b/>
          <w:bCs/>
          <w:color w:val="0F1F44"/>
          <w:sz w:val="24"/>
          <w:szCs w:val="24"/>
        </w:rPr>
        <w:t xml:space="preserve">Cost category 2 — Developer tooling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40%"/>
            <w:shd w:fill="1F3864" w:color="auto" w:val="clear"/>
            <w:tcMar>
              <w:top w:type="dxa" w:w="80"/>
              <w:left w:type="dxa" w:w="120"/>
              <w:bottom w:type="dxa" w:w="80"/>
              <w:right w:type="dxa" w:w="120"/>
            </w:tcMar>
          </w:tcPr>
          <w:p>
            <w:pPr>
              <w:spacing w:after="40"/>
              <w:jc w:val="left"/>
            </w:pPr>
            <w:r>
              <w:rPr>
                <w:b/>
                <w:bCs/>
                <w:color w:val="FFFFFF"/>
                <w:sz w:val="20"/>
                <w:szCs w:val="20"/>
              </w:rPr>
              <w:t xml:space="preserve">Line</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Year-1 ($K)</w:t>
            </w:r>
          </w:p>
        </w:tc>
        <w:tc>
          <w:tcPr>
            <w:tcW w:type="pct" w:w="45%"/>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GitHub Copilot Enterprise — 175 seats</w:t>
            </w:r>
          </w:p>
        </w:tc>
        <w:tc>
          <w:tcPr>
            <w:tcMar>
              <w:top w:type="dxa" w:w="80"/>
              <w:left w:type="dxa" w:w="120"/>
              <w:bottom w:type="dxa" w:w="80"/>
              <w:right w:type="dxa" w:w="120"/>
            </w:tcMar>
          </w:tcPr>
          <w:p>
            <w:pPr>
              <w:spacing w:after="40"/>
              <w:jc w:val="center"/>
            </w:pPr>
            <w:r>
              <w:rPr>
                <w:b w:val="false"/>
                <w:bCs w:val="false"/>
                <w:color w:val="1B1B1F"/>
                <w:sz w:val="20"/>
                <w:szCs w:val="20"/>
              </w:rPr>
              <w:t xml:space="preserve">82</w:t>
            </w:r>
          </w:p>
        </w:tc>
        <w:tc>
          <w:tcPr>
            <w:tcMar>
              <w:top w:type="dxa" w:w="80"/>
              <w:left w:type="dxa" w:w="120"/>
              <w:bottom w:type="dxa" w:w="80"/>
              <w:right w:type="dxa" w:w="120"/>
            </w:tcMar>
          </w:tcPr>
          <w:p>
            <w:pPr>
              <w:spacing w:after="40"/>
              <w:jc w:val="left"/>
            </w:pPr>
            <w:r>
              <w:rPr>
                <w:b w:val="false"/>
                <w:bCs w:val="false"/>
                <w:color w:val="1B1B1F"/>
                <w:sz w:val="20"/>
                <w:szCs w:val="20"/>
              </w:rPr>
              <w:t xml:space="preserve">$39/user/month list; assume 5% discount under EA.</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GitHub Advanced Security (GHAS) — 175 seats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60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Copilot Autofix, code scanning, secret scanning, dependency review.</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Microsoft Dev Box — 120 boxes</w:t>
            </w:r>
          </w:p>
        </w:tc>
        <w:tc>
          <w:tcPr>
            <w:tcMar>
              <w:top w:type="dxa" w:w="80"/>
              <w:left w:type="dxa" w:w="120"/>
              <w:bottom w:type="dxa" w:w="80"/>
              <w:right w:type="dxa" w:w="120"/>
            </w:tcMar>
          </w:tcPr>
          <w:p>
            <w:pPr>
              <w:spacing w:after="40"/>
              <w:jc w:val="center"/>
            </w:pPr>
            <w:r>
              <w:rPr>
                <w:b w:val="false"/>
                <w:bCs w:val="false"/>
                <w:color w:val="1B1B1F"/>
                <w:sz w:val="20"/>
                <w:szCs w:val="20"/>
              </w:rPr>
              <w:t xml:space="preserve">45</w:t>
            </w:r>
          </w:p>
        </w:tc>
        <w:tc>
          <w:tcPr>
            <w:tcMar>
              <w:top w:type="dxa" w:w="80"/>
              <w:left w:type="dxa" w:w="120"/>
              <w:bottom w:type="dxa" w:w="80"/>
              <w:right w:type="dxa" w:w="120"/>
            </w:tcMar>
          </w:tcPr>
          <w:p>
            <w:pPr>
              <w:spacing w:after="40"/>
              <w:jc w:val="left"/>
            </w:pPr>
            <w:r>
              <w:rPr>
                <w:b w:val="false"/>
                <w:bCs w:val="false"/>
                <w:color w:val="1B1B1F"/>
                <w:sz w:val="20"/>
                <w:szCs w:val="20"/>
              </w:rPr>
              <w:t xml:space="preserve">Medium/ large SKUs; auto-stop in off-hours.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Azure Deployment Environments (ADE)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Template infra; consumption on ephemeral envs.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Claude Code entitlements via Foundry (for bake-off cohort)</w:t>
            </w:r>
          </w:p>
        </w:tc>
        <w:tc>
          <w:tcPr>
            <w:tcMar>
              <w:top w:type="dxa" w:w="80"/>
              <w:left w:type="dxa" w:w="120"/>
              <w:bottom w:type="dxa" w:w="80"/>
              <w:right w:type="dxa" w:w="120"/>
            </w:tcMar>
          </w:tcPr>
          <w:p>
            <w:pPr>
              <w:spacing w:after="40"/>
              <w:jc w:val="center"/>
            </w:pPr>
            <w:r>
              <w:rPr>
                <w:b w:val="false"/>
                <w:bCs w:val="false"/>
                <w:color w:val="1B1B1F"/>
                <w:sz w:val="20"/>
                <w:szCs w:val="20"/>
              </w:rPr>
              <w:t xml:space="preserve">13</w:t>
            </w:r>
          </w:p>
        </w:tc>
        <w:tc>
          <w:tcPr>
            <w:tcMar>
              <w:top w:type="dxa" w:w="80"/>
              <w:left w:type="dxa" w:w="120"/>
              <w:bottom w:type="dxa" w:w="80"/>
              <w:right w:type="dxa" w:w="120"/>
            </w:tcMar>
          </w:tcPr>
          <w:p>
            <w:pPr>
              <w:spacing w:after="40"/>
              <w:jc w:val="left"/>
            </w:pPr>
            <w:r>
              <w:rPr>
                <w:b w:val="false"/>
                <w:bCs w:val="false"/>
                <w:color w:val="1B1B1F"/>
                <w:sz w:val="20"/>
                <w:szCs w:val="20"/>
              </w:rPr>
              <w:t xml:space="preserve">15 engineers for 6 months; consumption-billed.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Category total</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210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w:r>
          </w:p>
        </w:tc>
      </w:tr>
    </w:tbl>
    <w:p>
      <w:pPr>
        <w:pStyle w:val="Heading2"/>
        <w:spacing w:after="120" w:before="240"/>
      </w:pPr>
      <w:r>
        <w:rPr>
          <w:b/>
          <w:bCs/>
          <w:color w:val="0F1F44"/>
          <w:sz w:val="24"/>
          <w:szCs w:val="24"/>
        </w:rPr>
        <w:t xml:space="preserve">Cost category 3 — Governance, platform tooling and partners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40%"/>
            <w:shd w:fill="1F3864" w:color="auto" w:val="clear"/>
            <w:tcMar>
              <w:top w:type="dxa" w:w="80"/>
              <w:left w:type="dxa" w:w="120"/>
              <w:bottom w:type="dxa" w:w="80"/>
              <w:right w:type="dxa" w:w="120"/>
            </w:tcMar>
          </w:tcPr>
          <w:p>
            <w:pPr>
              <w:spacing w:after="40"/>
              <w:jc w:val="left"/>
            </w:pPr>
            <w:r>
              <w:rPr>
                <w:b/>
                <w:bCs/>
                <w:color w:val="FFFFFF"/>
                <w:sz w:val="20"/>
                <w:szCs w:val="20"/>
              </w:rPr>
              <w:t xml:space="preserve">Line</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Year-1 ($K)</w:t>
            </w:r>
          </w:p>
        </w:tc>
        <w:tc>
          <w:tcPr>
            <w:tcW w:type="pct" w:w="45%"/>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Evaluation tooling (eval pipeline, red-team tooling)</w:t>
            </w:r>
          </w:p>
        </w:tc>
        <w:tc>
          <w:tcPr>
            <w:tcMar>
              <w:top w:type="dxa" w:w="80"/>
              <w:left w:type="dxa" w:w="120"/>
              <w:bottom w:type="dxa" w:w="80"/>
              <w:right w:type="dxa" w:w="120"/>
            </w:tcMar>
          </w:tcPr>
          <w:p>
            <w:pPr>
              <w:spacing w:after="40"/>
              <w:jc w:val="center"/>
            </w:pPr>
            <w:r>
              <w:rPr>
                <w:b w:val="false"/>
                <w:bCs w:val="false"/>
                <w:color w:val="1B1B1F"/>
                <w:sz w:val="20"/>
                <w:szCs w:val="20"/>
              </w:rPr>
              <w:t xml:space="preserve">45</w:t>
            </w:r>
          </w:p>
        </w:tc>
        <w:tc>
          <w:tcPr>
            <w:tcMar>
              <w:top w:type="dxa" w:w="80"/>
              <w:left w:type="dxa" w:w="120"/>
              <w:bottom w:type="dxa" w:w="80"/>
              <w:right w:type="dxa" w:w="120"/>
            </w:tcMar>
          </w:tcPr>
          <w:p>
            <w:pPr>
              <w:spacing w:after="40"/>
              <w:jc w:val="left"/>
            </w:pPr>
            <w:r>
              <w:rPr>
                <w:b w:val="false"/>
                <w:bCs w:val="false"/>
                <w:color w:val="1B1B1F"/>
                <w:sz w:val="20"/>
                <w:szCs w:val="20"/>
              </w:rPr>
              <w:t xml:space="preserve">Open-source + managed service for prompt / response evals.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Copilot Studio governance tooling</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Monitoring of citizen-built agents; DLP policies for connectors.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Implementation partner (Foundry platform build + Copilot optimisation)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80</w:t>
            </w:r>
          </w:p>
        </w:tc>
        <w:tc>
          <w:tcPr>
            <w:tcMar>
              <w:top w:type="dxa" w:w="80"/>
              <w:left w:type="dxa" w:w="120"/>
              <w:bottom w:type="dxa" w:w="80"/>
              <w:right w:type="dxa" w:w="120"/>
            </w:tcMar>
          </w:tcPr>
          <w:p>
            <w:pPr>
              <w:spacing w:after="40"/>
              <w:jc w:val="left"/>
            </w:pPr>
            <w:r>
              <w:rPr>
                <w:b w:val="false"/>
                <w:bCs w:val="false"/>
                <w:color w:val="1B1B1F"/>
                <w:sz w:val="20"/>
                <w:szCs w:val="20"/>
              </w:rPr>
              <w:t xml:space="preserve">Fixed-price + T&amp;M; partner-of-record model.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Independent validator (Tier-1 model validation readiness)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25</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Arm's-length review; available for Tier-1 cases in Year-2.</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Legal / privacy specialist support (AU-regional, DPIA acceleration)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10</w:t>
            </w:r>
          </w:p>
        </w:tc>
        <w:tc>
          <w:tcPr>
            <w:tcMar>
              <w:top w:type="dxa" w:w="80"/>
              <w:left w:type="dxa" w:w="120"/>
              <w:bottom w:type="dxa" w:w="80"/>
              <w:right w:type="dxa" w:w="120"/>
            </w:tcMar>
          </w:tcPr>
          <w:p>
            <w:pPr>
              <w:spacing w:after="40"/>
              <w:jc w:val="left"/>
            </w:pPr>
            <w:r>
              <w:rPr>
                <w:b w:val="false"/>
                <w:bCs w:val="false"/>
                <w:color w:val="1B1B1F"/>
                <w:sz w:val="20"/>
                <w:szCs w:val="20"/>
              </w:rPr>
              <w:t xml:space="preserve">Standby advisory; used by exception.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Category total</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180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w:r>
          </w:p>
        </w:tc>
      </w:tr>
    </w:tbl>
    <w:p>
      <w:pPr>
        <w:pStyle w:val="Heading2"/>
        <w:spacing w:after="120" w:before="240"/>
      </w:pPr>
      <w:r>
        <w:rPr>
          <w:b/>
          <w:bCs/>
          <w:color w:val="0F1F44"/>
          <w:sz w:val="24"/>
          <w:szCs w:val="24"/>
        </w:rPr>
        <w:t xml:space="preserve">Cost category 4 — People (phased hire)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Role</w:t>
            </w:r>
          </w:p>
        </w:tc>
        <w:tc>
          <w:tcPr>
            <w:tcW w:type="pct" w:w="12%"/>
            <w:shd w:fill="1F3864" w:color="auto" w:val="clear"/>
            <w:tcMar>
              <w:top w:type="dxa" w:w="80"/>
              <w:left w:type="dxa" w:w="120"/>
              <w:bottom w:type="dxa" w:w="80"/>
              <w:right w:type="dxa" w:w="120"/>
            </w:tcMar>
          </w:tcPr>
          <w:p>
            <w:pPr>
              <w:spacing w:after="40"/>
              <w:jc w:val="center"/>
            </w:pPr>
            <w:r>
              <w:rPr>
                <w:b/>
                <w:bCs/>
                <w:color w:val="FFFFFF"/>
                <w:sz w:val="20"/>
                <w:szCs w:val="20"/>
              </w:rPr>
              <w:t xml:space="preserve">Start</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Loaded cost ($K)</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Y1 pro-rata ($K)</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Note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Head of AI &amp; Automation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Day 1</w:t>
            </w:r>
          </w:p>
        </w:tc>
        <w:tc>
          <w:tcPr>
            <w:tcMar>
              <w:top w:type="dxa" w:w="80"/>
              <w:left w:type="dxa" w:w="120"/>
              <w:bottom w:type="dxa" w:w="80"/>
              <w:right w:type="dxa" w:w="120"/>
            </w:tcMar>
          </w:tcPr>
          <w:p>
            <w:pPr>
              <w:spacing w:after="40"/>
              <w:jc w:val="center"/>
            </w:pPr>
            <w:r>
              <w:rPr>
                <w:b w:val="false"/>
                <w:bCs w:val="false"/>
                <w:color w:val="1B1B1F"/>
                <w:sz w:val="20"/>
                <w:szCs w:val="20"/>
              </w:rPr>
              <w:t xml:space="preserve">260</w:t>
            </w:r>
          </w:p>
        </w:tc>
        <w:tc>
          <w:tcPr>
            <w:tcMar>
              <w:top w:type="dxa" w:w="80"/>
              <w:left w:type="dxa" w:w="120"/>
              <w:bottom w:type="dxa" w:w="80"/>
              <w:right w:type="dxa" w:w="120"/>
            </w:tcMar>
          </w:tcPr>
          <w:p>
            <w:pPr>
              <w:spacing w:after="40"/>
              <w:jc w:val="center"/>
            </w:pPr>
            <w:r>
              <w:rPr>
                <w:b w:val="false"/>
                <w:bCs w:val="false"/>
                <w:color w:val="1B1B1F"/>
                <w:sz w:val="20"/>
                <w:szCs w:val="20"/>
              </w:rPr>
              <w:t xml:space="preserve">260</w:t>
            </w:r>
          </w:p>
        </w:tc>
        <w:tc>
          <w:tcPr>
            <w:tcMar>
              <w:top w:type="dxa" w:w="80"/>
              <w:left w:type="dxa" w:w="120"/>
              <w:bottom w:type="dxa" w:w="80"/>
              <w:right w:type="dxa" w:w="120"/>
            </w:tcMar>
          </w:tcPr>
          <w:p>
            <w:pPr>
              <w:spacing w:after="40"/>
              <w:jc w:val="left"/>
            </w:pPr>
            <w:r>
              <w:rPr>
                <w:b w:val="false"/>
                <w:bCs w:val="false"/>
                <w:color w:val="1B1B1F"/>
                <w:sz w:val="20"/>
                <w:szCs w:val="20"/>
              </w:rPr>
              <w:t xml:space="preserve">Incumbent.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Governance Lead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Month 2</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150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125</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Priority hire.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AI Platform Engineer</w:t>
            </w:r>
          </w:p>
        </w:tc>
        <w:tc>
          <w:tcPr>
            <w:tcMar>
              <w:top w:type="dxa" w:w="80"/>
              <w:left w:type="dxa" w:w="120"/>
              <w:bottom w:type="dxa" w:w="80"/>
              <w:right w:type="dxa" w:w="120"/>
            </w:tcMar>
          </w:tcPr>
          <w:p>
            <w:pPr>
              <w:spacing w:after="40"/>
              <w:jc w:val="center"/>
            </w:pPr>
            <w:r>
              <w:rPr>
                <w:b w:val="false"/>
                <w:bCs w:val="false"/>
                <w:color w:val="1B1B1F"/>
                <w:sz w:val="20"/>
                <w:szCs w:val="20"/>
              </w:rPr>
              <w:t xml:space="preserve">Month 2</w:t>
            </w:r>
          </w:p>
        </w:tc>
        <w:tc>
          <w:tcPr>
            <w:tcMar>
              <w:top w:type="dxa" w:w="80"/>
              <w:left w:type="dxa" w:w="120"/>
              <w:bottom w:type="dxa" w:w="80"/>
              <w:right w:type="dxa" w:w="120"/>
            </w:tcMar>
          </w:tcPr>
          <w:p>
            <w:pPr>
              <w:spacing w:after="40"/>
              <w:jc w:val="center"/>
            </w:pPr>
            <w:r>
              <w:rPr>
                <w:b w:val="false"/>
                <w:bCs w:val="false"/>
                <w:color w:val="1B1B1F"/>
                <w:sz w:val="20"/>
                <w:szCs w:val="20"/>
              </w:rPr>
              <w:t xml:space="preserve">160</w:t>
            </w:r>
          </w:p>
        </w:tc>
        <w:tc>
          <w:tcPr>
            <w:tcMar>
              <w:top w:type="dxa" w:w="80"/>
              <w:left w:type="dxa" w:w="120"/>
              <w:bottom w:type="dxa" w:w="80"/>
              <w:right w:type="dxa" w:w="120"/>
            </w:tcMar>
          </w:tcPr>
          <w:p>
            <w:pPr>
              <w:spacing w:after="40"/>
              <w:jc w:val="center"/>
            </w:pPr>
            <w:r>
              <w:rPr>
                <w:b w:val="false"/>
                <w:bCs w:val="false"/>
                <w:color w:val="1B1B1F"/>
                <w:sz w:val="20"/>
                <w:szCs w:val="20"/>
              </w:rPr>
              <w:t xml:space="preserve">135</w:t>
            </w:r>
          </w:p>
        </w:tc>
        <w:tc>
          <w:tcPr>
            <w:tcMar>
              <w:top w:type="dxa" w:w="80"/>
              <w:left w:type="dxa" w:w="120"/>
              <w:bottom w:type="dxa" w:w="80"/>
              <w:right w:type="dxa" w:w="120"/>
            </w:tcMar>
          </w:tcPr>
          <w:p>
            <w:pPr>
              <w:spacing w:after="40"/>
              <w:jc w:val="left"/>
            </w:pPr>
            <w:r>
              <w:rPr>
                <w:b w:val="false"/>
                <w:bCs w:val="false"/>
                <w:color w:val="1B1B1F"/>
                <w:sz w:val="20"/>
                <w:szCs w:val="20"/>
              </w:rPr>
              <w:t xml:space="preserve">Foundry, DevOps, IaC.</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ML / MLOps Engineer</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Month 4</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150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100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Evaluation and monitoring.</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AI Product Manager</w:t>
            </w:r>
          </w:p>
        </w:tc>
        <w:tc>
          <w:tcPr>
            <w:tcMar>
              <w:top w:type="dxa" w:w="80"/>
              <w:left w:type="dxa" w:w="120"/>
              <w:bottom w:type="dxa" w:w="80"/>
              <w:right w:type="dxa" w:w="120"/>
            </w:tcMar>
          </w:tcPr>
          <w:p>
            <w:pPr>
              <w:spacing w:after="40"/>
              <w:jc w:val="center"/>
            </w:pPr>
            <w:r>
              <w:rPr>
                <w:b w:val="false"/>
                <w:bCs w:val="false"/>
                <w:color w:val="1B1B1F"/>
                <w:sz w:val="20"/>
                <w:szCs w:val="20"/>
              </w:rPr>
              <w:t xml:space="preserve">Month 5</w:t>
            </w:r>
          </w:p>
        </w:tc>
        <w:tc>
          <w:tcPr>
            <w:tcMar>
              <w:top w:type="dxa" w:w="80"/>
              <w:left w:type="dxa" w:w="120"/>
              <w:bottom w:type="dxa" w:w="80"/>
              <w:right w:type="dxa" w:w="120"/>
            </w:tcMar>
          </w:tcPr>
          <w:p>
            <w:pPr>
              <w:spacing w:after="40"/>
              <w:jc w:val="center"/>
            </w:pPr>
            <w:r>
              <w:rPr>
                <w:b w:val="false"/>
                <w:bCs w:val="false"/>
                <w:color w:val="1B1B1F"/>
                <w:sz w:val="20"/>
                <w:szCs w:val="20"/>
              </w:rPr>
              <w:t xml:space="preserve">140</w:t>
            </w:r>
          </w:p>
        </w:tc>
        <w:tc>
          <w:tcPr>
            <w:tcMar>
              <w:top w:type="dxa" w:w="80"/>
              <w:left w:type="dxa" w:w="120"/>
              <w:bottom w:type="dxa" w:w="80"/>
              <w:right w:type="dxa" w:w="120"/>
            </w:tcMar>
          </w:tcPr>
          <w:p>
            <w:pPr>
              <w:spacing w:after="40"/>
              <w:jc w:val="center"/>
            </w:pPr>
            <w:r>
              <w:rPr>
                <w:b w:val="false"/>
                <w:bCs w:val="false"/>
                <w:color w:val="1B1B1F"/>
                <w:sz w:val="20"/>
                <w:szCs w:val="20"/>
              </w:rPr>
              <w:t xml:space="preserve">80</w:t>
            </w:r>
          </w:p>
        </w:tc>
        <w:tc>
          <w:tcPr>
            <w:tcMar>
              <w:top w:type="dxa" w:w="80"/>
              <w:left w:type="dxa" w:w="120"/>
              <w:bottom w:type="dxa" w:w="80"/>
              <w:right w:type="dxa" w:w="120"/>
            </w:tcMar>
          </w:tcPr>
          <w:p>
            <w:pPr>
              <w:spacing w:after="40"/>
              <w:jc w:val="left"/>
            </w:pPr>
            <w:r>
              <w:rPr>
                <w:b w:val="false"/>
                <w:bCs w:val="false"/>
                <w:color w:val="1B1B1F"/>
                <w:sz w:val="20"/>
                <w:szCs w:val="20"/>
              </w:rPr>
              <w:t xml:space="preserve">Use-case prioritisation and delivery.</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Solutions partners x2 (secondment from Council)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Month 3</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0 (loaned)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No incremental cost.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Recruitment costs (agency / testing / relocation)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40</w:t>
            </w:r>
          </w:p>
        </w:tc>
        <w:tc>
          <w:tcPr>
            <w:tcMar>
              <w:top w:type="dxa" w:w="80"/>
              <w:left w:type="dxa" w:w="120"/>
              <w:bottom w:type="dxa" w:w="80"/>
              <w:right w:type="dxa" w:w="120"/>
            </w:tcMar>
          </w:tcPr>
          <w:p>
            <w:pPr>
              <w:spacing w:after="40"/>
              <w:jc w:val="left"/>
            </w:pPr>
            <w:r>
              <w:rPr>
                <w:b w:val="false"/>
                <w:bCs w:val="false"/>
                <w:color w:val="1B1B1F"/>
                <w:sz w:val="20"/>
                <w:szCs w:val="20"/>
              </w:rPr>
              <w:t xml:space="preserve">Across 4 hires.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Category total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540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w:r>
          </w:p>
        </w:tc>
      </w:tr>
    </w:tbl>
    <w:p>
      <w:pPr>
        <w:spacing w:after="80"/>
      </w:pPr>
      <w:r>
        <w:rPr>
          <w:i/>
          <w:iCs/>
          <w:color w:val="5A5A66"/>
          <w:sz w:val="20"/>
          <w:szCs w:val="20"/>
        </w:rPr>
        <w:t xml:space="preserve">The Head of AI &amp; Automation role is already budgeted in central HR numbers; included here for transparency.</w:t>
      </w:r>
    </w:p>
    <w:p>
      <w:pPr>
        <w:pStyle w:val="Heading2"/>
        <w:spacing w:after="120" w:before="240"/>
      </w:pPr>
      <w:r>
        <w:rPr>
          <w:b/>
          <w:bCs/>
          <w:color w:val="0F1F44"/>
          <w:sz w:val="24"/>
          <w:szCs w:val="24"/>
        </w:rPr>
        <w:t xml:space="preserve">Cost category 5 — Training &amp; change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40%"/>
            <w:shd w:fill="1F3864" w:color="auto" w:val="clear"/>
            <w:tcMar>
              <w:top w:type="dxa" w:w="80"/>
              <w:left w:type="dxa" w:w="120"/>
              <w:bottom w:type="dxa" w:w="80"/>
              <w:right w:type="dxa" w:w="120"/>
            </w:tcMar>
          </w:tcPr>
          <w:p>
            <w:pPr>
              <w:spacing w:after="40"/>
              <w:jc w:val="left"/>
            </w:pPr>
            <w:r>
              <w:rPr>
                <w:b/>
                <w:bCs/>
                <w:color w:val="FFFFFF"/>
                <w:sz w:val="20"/>
                <w:szCs w:val="20"/>
              </w:rPr>
              <w:t xml:space="preserve">Line</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Year-1 ($K)</w:t>
            </w:r>
          </w:p>
        </w:tc>
        <w:tc>
          <w:tcPr>
            <w:tcW w:type="pct" w:w="45%"/>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Role-based AI academy (all staff L1; knowledge workers L2; devs L3)</w:t>
            </w:r>
          </w:p>
        </w:tc>
        <w:tc>
          <w:tcPr>
            <w:tcMar>
              <w:top w:type="dxa" w:w="80"/>
              <w:left w:type="dxa" w:w="120"/>
              <w:bottom w:type="dxa" w:w="80"/>
              <w:right w:type="dxa" w:w="120"/>
            </w:tcMar>
          </w:tcPr>
          <w:p>
            <w:pPr>
              <w:spacing w:after="40"/>
              <w:jc w:val="center"/>
            </w:pPr>
            <w:r>
              <w:rPr>
                <w:b w:val="false"/>
                <w:bCs w:val="false"/>
                <w:color w:val="1B1B1F"/>
                <w:sz w:val="20"/>
                <w:szCs w:val="20"/>
              </w:rPr>
              <w:t xml:space="preserve">50</w:t>
            </w:r>
          </w:p>
        </w:tc>
        <w:tc>
          <w:tcPr>
            <w:tcMar>
              <w:top w:type="dxa" w:w="80"/>
              <w:left w:type="dxa" w:w="120"/>
              <w:bottom w:type="dxa" w:w="80"/>
              <w:right w:type="dxa" w:w="120"/>
            </w:tcMar>
          </w:tcPr>
          <w:p>
            <w:pPr>
              <w:spacing w:after="40"/>
              <w:jc w:val="left"/>
            </w:pPr>
            <w:r>
              <w:rPr>
                <w:b w:val="false"/>
                <w:bCs w:val="false"/>
                <w:color w:val="1B1B1F"/>
                <w:sz w:val="20"/>
                <w:szCs w:val="20"/>
              </w:rPr>
              <w:t xml:space="preserve">Content curated; delivered via Viva Learning.</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Change and adoption campaign (intranet, town halls, champions)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25</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Comms and community of practice.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AUP attestation and compliance tracking</w:t>
            </w:r>
          </w:p>
        </w:tc>
        <w:tc>
          <w:tcPr>
            <w:tcMar>
              <w:top w:type="dxa" w:w="80"/>
              <w:left w:type="dxa" w:w="120"/>
              <w:bottom w:type="dxa" w:w="80"/>
              <w:right w:type="dxa" w:w="120"/>
            </w:tcMar>
          </w:tcPr>
          <w:p>
            <w:pPr>
              <w:spacing w:after="40"/>
              <w:jc w:val="center"/>
            </w:pPr>
            <w:r>
              <w:rPr>
                <w:b w:val="false"/>
                <w:bCs w:val="false"/>
                <w:color w:val="1B1B1F"/>
                <w:sz w:val="20"/>
                <w:szCs w:val="20"/>
              </w:rPr>
              <w:t xml:space="preserve">15</w:t>
            </w:r>
          </w:p>
        </w:tc>
        <w:tc>
          <w:tcPr>
            <w:tcMar>
              <w:top w:type="dxa" w:w="80"/>
              <w:left w:type="dxa" w:w="120"/>
              <w:bottom w:type="dxa" w:w="80"/>
              <w:right w:type="dxa" w:w="120"/>
            </w:tcMar>
          </w:tcPr>
          <w:p>
            <w:pPr>
              <w:spacing w:after="40"/>
              <w:jc w:val="left"/>
            </w:pPr>
            <w:r>
              <w:rPr>
                <w:b w:val="false"/>
                <w:bCs w:val="false"/>
                <w:color w:val="1B1B1F"/>
                <w:sz w:val="20"/>
                <w:szCs w:val="20"/>
              </w:rPr>
              <w:t xml:space="preserve">HR systems integration; reporting.</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Category total</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90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w:r>
          </w:p>
        </w:tc>
      </w:tr>
    </w:tbl>
    <w:p>
      <w:pPr>
        <w:pStyle w:val="Heading1"/>
        <w:spacing w:after="160" w:before="360"/>
      </w:pPr>
      <w:r>
        <w:rPr>
          <w:b/>
          <w:bCs/>
          <w:color w:val="1F3864"/>
          <w:sz w:val="30"/>
          <w:szCs w:val="30"/>
        </w:rPr>
        <w:t xml:space="preserve">Benefits Plan</w:t>
      </w:r>
    </w:p>
    <w:p>
      <w:pPr>
        <w:spacing w:after="120" w:line="300"/>
      </w:pPr>
      <w:r>
        <w:t xml:space="preserve">Benefits are owned by the business sponsor of each value stream. The AI &amp; Automation function instruments the measurement; the sponsor commits to the outcome.</w:t>
      </w:r>
    </w:p>
    <w:p>
      <w:pPr>
        <w:pStyle w:val="Heading2"/>
        <w:spacing w:after="120" w:before="240"/>
      </w:pPr>
      <w:r>
        <w:rPr>
          <w:b/>
          <w:bCs/>
          <w:color w:val="0F1F44"/>
          <w:sz w:val="24"/>
          <w:szCs w:val="24"/>
        </w:rPr>
        <w:t xml:space="preserve">Measurement discipline</w:t>
      </w:r>
    </w:p>
    <w:p>
      <w:pPr>
        <w:pStyle w:val="ListParagraph"/>
        <w:numPr>
          <w:ilvl w:val="0"/>
          <w:numId w:val="2"/>
        </w:numPr>
        <w:spacing w:after="80" w:line="280"/>
      </w:pPr>
      <w:r>
        <w:t xml:space="preserve">Pre-baseline captured before any pilot goes live — two sprints of DORA + quality metrics for devs; four weeks of handle-time and survey data for operations.</w:t>
      </w:r>
    </w:p>
    <w:p>
      <w:pPr>
        <w:pStyle w:val="ListParagraph"/>
        <w:numPr>
          <w:ilvl w:val="0"/>
          <w:numId w:val="2"/>
        </w:numPr>
        <w:spacing w:after="80" w:line="280"/>
      </w:pPr>
      <w:r>
        <w:t xml:space="preserve">Benefit booking: only gross time saved × loaded cost × adoption rate × risk adjustment. No cost avoidance or imputed benefit unless independently validated.</w:t>
      </w:r>
    </w:p>
    <w:p>
      <w:pPr>
        <w:pStyle w:val="ListParagraph"/>
        <w:numPr>
          <w:ilvl w:val="0"/>
          <w:numId w:val="2"/>
        </w:numPr>
        <w:spacing w:after="80" w:line="280"/>
      </w:pPr>
      <w:r>
        <w:t xml:space="preserve">Reporting cadence: monthly pack to AI Council and CFO; quarterly to ExCo and BRC.</w:t>
      </w:r>
    </w:p>
    <w:p>
      <w:pPr>
        <w:pStyle w:val="ListParagraph"/>
        <w:numPr>
          <w:ilvl w:val="0"/>
          <w:numId w:val="2"/>
        </w:numPr>
        <w:spacing w:after="80" w:line="280"/>
      </w:pPr>
      <w:r>
        <w:t xml:space="preserve">Benefit realisation curve shown below as a visible commitment, not an aspiration.</w:t>
      </w:r>
    </w:p>
    <w:p>
      <w:pPr>
        <w:pStyle w:val="Heading2"/>
        <w:spacing w:after="120" w:before="240"/>
      </w:pPr>
      <w:r>
        <w:rPr>
          <w:b/>
          <w:bCs/>
          <w:color w:val="0F1F44"/>
          <w:sz w:val="24"/>
          <w:szCs w:val="24"/>
        </w:rPr>
        <w:t xml:space="preserve">Year-1 realisation curve (indicative, $K)</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tblGrid>
      <w:tr>
        <w:trPr>
          <w:tblHeader/>
        </w:trPr>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Quarter</w:t>
            </w:r>
          </w:p>
        </w:tc>
        <w:tc>
          <w:tcPr>
            <w:tcW w:type="pct" w:w="17%"/>
            <w:shd w:fill="1F3864" w:color="auto" w:val="clear"/>
            <w:tcMar>
              <w:top w:type="dxa" w:w="80"/>
              <w:left w:type="dxa" w:w="120"/>
              <w:bottom w:type="dxa" w:w="80"/>
              <w:right w:type="dxa" w:w="120"/>
            </w:tcMar>
          </w:tcPr>
          <w:p>
            <w:pPr>
              <w:spacing w:after="40"/>
              <w:jc w:val="center"/>
            </w:pPr>
            <w:r>
              <w:rPr>
                <w:b/>
                <w:bCs/>
                <w:color w:val="FFFFFF"/>
                <w:sz w:val="20"/>
                <w:szCs w:val="20"/>
              </w:rPr>
              <w:t xml:space="preserve">Dev productivity</w:t>
            </w:r>
          </w:p>
        </w:tc>
        <w:tc>
          <w:tcPr>
            <w:tcW w:type="pct" w:w="17%"/>
            <w:shd w:fill="1F3864" w:color="auto" w:val="clear"/>
            <w:tcMar>
              <w:top w:type="dxa" w:w="80"/>
              <w:left w:type="dxa" w:w="120"/>
              <w:bottom w:type="dxa" w:w="80"/>
              <w:right w:type="dxa" w:w="120"/>
            </w:tcMar>
          </w:tcPr>
          <w:p>
            <w:pPr>
              <w:spacing w:after="40"/>
              <w:jc w:val="center"/>
            </w:pPr>
            <w:r>
              <w:rPr>
                <w:b/>
                <w:bCs/>
                <w:color w:val="FFFFFF"/>
                <w:sz w:val="20"/>
                <w:szCs w:val="20"/>
              </w:rPr>
              <w:t xml:space="preserve">Ops copilot</w:t>
            </w:r>
          </w:p>
        </w:tc>
        <w:tc>
          <w:tcPr>
            <w:tcW w:type="pct" w:w="20%"/>
            <w:shd w:fill="1F3864" w:color="auto" w:val="clear"/>
            <w:tcMar>
              <w:top w:type="dxa" w:w="80"/>
              <w:left w:type="dxa" w:w="120"/>
              <w:bottom w:type="dxa" w:w="80"/>
              <w:right w:type="dxa" w:w="120"/>
            </w:tcMar>
          </w:tcPr>
          <w:p>
            <w:pPr>
              <w:spacing w:after="40"/>
              <w:jc w:val="center"/>
            </w:pPr>
            <w:r>
              <w:rPr>
                <w:b/>
                <w:bCs/>
                <w:color w:val="FFFFFF"/>
                <w:sz w:val="20"/>
                <w:szCs w:val="20"/>
              </w:rPr>
              <w:t xml:space="preserve">M365 Copilot optimisation</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Governance / risk</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Quarter total</w:t>
            </w:r>
          </w:p>
        </w:tc>
      </w:tr>
      <w:tr>
        <w:tc>
          <w:tcPr>
            <w:tcMar>
              <w:top w:type="dxa" w:w="80"/>
              <w:left w:type="dxa" w:w="120"/>
              <w:bottom w:type="dxa" w:w="80"/>
              <w:right w:type="dxa" w:w="120"/>
            </w:tcMar>
          </w:tcPr>
          <w:p>
            <w:pPr>
              <w:spacing w:after="40"/>
              <w:jc w:val="center"/>
            </w:pPr>
            <w:r>
              <w:rPr>
                <w:b w:val="false"/>
                <w:bCs w:val="false"/>
                <w:color w:val="1B1B1F"/>
                <w:sz w:val="20"/>
                <w:szCs w:val="20"/>
              </w:rPr>
              <w:t xml:space="preserve">Q1</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50</w:t>
            </w:r>
          </w:p>
        </w:tc>
        <w:tc>
          <w:tcPr>
            <w:tcMar>
              <w:top w:type="dxa" w:w="80"/>
              <w:left w:type="dxa" w:w="120"/>
              <w:bottom w:type="dxa" w:w="80"/>
              <w:right w:type="dxa" w:w="120"/>
            </w:tcMar>
          </w:tcPr>
          <w:p>
            <w:pPr>
              <w:spacing w:after="40"/>
              <w:jc w:val="center"/>
            </w:pPr>
            <w:r>
              <w:rPr>
                <w:b w:val="false"/>
                <w:bCs w:val="false"/>
                <w:color w:val="1B1B1F"/>
                <w:sz w:val="20"/>
                <w:szCs w:val="20"/>
              </w:rPr>
              <w:t xml:space="preserve">30</w:t>
            </w:r>
          </w:p>
        </w:tc>
        <w:tc>
          <w:tcPr>
            <w:tcMar>
              <w:top w:type="dxa" w:w="80"/>
              <w:left w:type="dxa" w:w="120"/>
              <w:bottom w:type="dxa" w:w="80"/>
              <w:right w:type="dxa" w:w="120"/>
            </w:tcMar>
          </w:tcPr>
          <w:p>
            <w:pPr>
              <w:spacing w:after="40"/>
              <w:jc w:val="center"/>
            </w:pPr>
            <w:r>
              <w:rPr>
                <w:b/>
                <w:bCs/>
                <w:color w:val="1B1B1F"/>
                <w:sz w:val="20"/>
                <w:szCs w:val="20"/>
              </w:rPr>
              <w:t xml:space="preserve">80</w:t>
            </w:r>
          </w:p>
        </w:tc>
      </w:tr>
      <w:tr>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Q2</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80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60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80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50</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270</w:t>
            </w:r>
          </w:p>
        </w:tc>
      </w:tr>
      <w:tr>
        <w:tc>
          <w:tcPr>
            <w:tcMar>
              <w:top w:type="dxa" w:w="80"/>
              <w:left w:type="dxa" w:w="120"/>
              <w:bottom w:type="dxa" w:w="80"/>
              <w:right w:type="dxa" w:w="120"/>
            </w:tcMar>
          </w:tcPr>
          <w:p>
            <w:pPr>
              <w:spacing w:after="40"/>
              <w:jc w:val="center"/>
            </w:pPr>
            <w:r>
              <w:rPr>
                <w:b w:val="false"/>
                <w:bCs w:val="false"/>
                <w:color w:val="1B1B1F"/>
                <w:sz w:val="20"/>
                <w:szCs w:val="20"/>
              </w:rPr>
              <w:t xml:space="preserve">Q3</w:t>
            </w:r>
          </w:p>
        </w:tc>
        <w:tc>
          <w:tcPr>
            <w:tcMar>
              <w:top w:type="dxa" w:w="80"/>
              <w:left w:type="dxa" w:w="120"/>
              <w:bottom w:type="dxa" w:w="80"/>
              <w:right w:type="dxa" w:w="120"/>
            </w:tcMar>
          </w:tcPr>
          <w:p>
            <w:pPr>
              <w:spacing w:after="40"/>
              <w:jc w:val="center"/>
            </w:pPr>
            <w:r>
              <w:rPr>
                <w:b w:val="false"/>
                <w:bCs w:val="false"/>
                <w:color w:val="1B1B1F"/>
                <w:sz w:val="20"/>
                <w:szCs w:val="20"/>
              </w:rPr>
              <w:t xml:space="preserve">220</w:t>
            </w:r>
          </w:p>
        </w:tc>
        <w:tc>
          <w:tcPr>
            <w:tcMar>
              <w:top w:type="dxa" w:w="80"/>
              <w:left w:type="dxa" w:w="120"/>
              <w:bottom w:type="dxa" w:w="80"/>
              <w:right w:type="dxa" w:w="120"/>
            </w:tcMar>
          </w:tcPr>
          <w:p>
            <w:pPr>
              <w:spacing w:after="40"/>
              <w:jc w:val="center"/>
            </w:pPr>
            <w:r>
              <w:rPr>
                <w:b w:val="false"/>
                <w:bCs w:val="false"/>
                <w:color w:val="1B1B1F"/>
                <w:sz w:val="20"/>
                <w:szCs w:val="20"/>
              </w:rPr>
              <w:t xml:space="preserve">170</w:t>
            </w:r>
          </w:p>
        </w:tc>
        <w:tc>
          <w:tcPr>
            <w:tcMar>
              <w:top w:type="dxa" w:w="80"/>
              <w:left w:type="dxa" w:w="120"/>
              <w:bottom w:type="dxa" w:w="80"/>
              <w:right w:type="dxa" w:w="120"/>
            </w:tcMar>
          </w:tcPr>
          <w:p>
            <w:pPr>
              <w:spacing w:after="40"/>
              <w:jc w:val="center"/>
            </w:pPr>
            <w:r>
              <w:rPr>
                <w:b w:val="false"/>
                <w:bCs w:val="false"/>
                <w:color w:val="1B1B1F"/>
                <w:sz w:val="20"/>
                <w:szCs w:val="20"/>
              </w:rPr>
              <w:t xml:space="preserve">100</w:t>
            </w:r>
          </w:p>
        </w:tc>
        <w:tc>
          <w:tcPr>
            <w:tcMar>
              <w:top w:type="dxa" w:w="80"/>
              <w:left w:type="dxa" w:w="120"/>
              <w:bottom w:type="dxa" w:w="80"/>
              <w:right w:type="dxa" w:w="120"/>
            </w:tcMar>
          </w:tcPr>
          <w:p>
            <w:pPr>
              <w:spacing w:after="40"/>
              <w:jc w:val="center"/>
            </w:pPr>
            <w:r>
              <w:rPr>
                <w:b w:val="false"/>
                <w:bCs w:val="false"/>
                <w:color w:val="1B1B1F"/>
                <w:sz w:val="20"/>
                <w:szCs w:val="20"/>
              </w:rPr>
              <w:t xml:space="preserve">55</w:t>
            </w:r>
          </w:p>
        </w:tc>
        <w:tc>
          <w:tcPr>
            <w:tcMar>
              <w:top w:type="dxa" w:w="80"/>
              <w:left w:type="dxa" w:w="120"/>
              <w:bottom w:type="dxa" w:w="80"/>
              <w:right w:type="dxa" w:w="120"/>
            </w:tcMar>
          </w:tcPr>
          <w:p>
            <w:pPr>
              <w:spacing w:after="40"/>
              <w:jc w:val="center"/>
            </w:pPr>
            <w:r>
              <w:rPr>
                <w:b/>
                <w:bCs/>
                <w:color w:val="1B1B1F"/>
                <w:sz w:val="20"/>
                <w:szCs w:val="20"/>
              </w:rPr>
              <w:t xml:space="preserve">545</w:t>
            </w:r>
          </w:p>
        </w:tc>
      </w:tr>
      <w:tr>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Q4</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350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250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120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65</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785</w:t>
            </w:r>
          </w:p>
        </w:tc>
      </w:tr>
      <w:tr>
        <w:tc>
          <w:tcPr>
            <w:tcMar>
              <w:top w:type="dxa" w:w="80"/>
              <w:left w:type="dxa" w:w="120"/>
              <w:bottom w:type="dxa" w:w="80"/>
              <w:right w:type="dxa" w:w="120"/>
            </w:tcMar>
          </w:tcPr>
          <w:p>
            <w:pPr>
              <w:spacing w:after="40"/>
              <w:jc w:val="center"/>
            </w:pPr>
            <w:r>
              <w:rPr>
                <w:b/>
                <w:bCs/>
                <w:color w:val="1B1B1F"/>
                <w:sz w:val="20"/>
                <w:szCs w:val="20"/>
              </w:rPr>
              <w:t xml:space="preserve">Year-1 total</w:t>
            </w:r>
          </w:p>
        </w:tc>
        <w:tc>
          <w:tcPr>
            <w:tcMar>
              <w:top w:type="dxa" w:w="80"/>
              <w:left w:type="dxa" w:w="120"/>
              <w:bottom w:type="dxa" w:w="80"/>
              <w:right w:type="dxa" w:w="120"/>
            </w:tcMar>
          </w:tcPr>
          <w:p>
            <w:pPr>
              <w:spacing w:after="40"/>
              <w:jc w:val="center"/>
            </w:pPr>
            <w:r>
              <w:rPr>
                <w:b/>
                <w:bCs/>
                <w:color w:val="1B1B1F"/>
                <w:sz w:val="20"/>
                <w:szCs w:val="20"/>
              </w:rPr>
              <w:t xml:space="preserve">650</w:t>
            </w:r>
          </w:p>
        </w:tc>
        <w:tc>
          <w:tcPr>
            <w:tcMar>
              <w:top w:type="dxa" w:w="80"/>
              <w:left w:type="dxa" w:w="120"/>
              <w:bottom w:type="dxa" w:w="80"/>
              <w:right w:type="dxa" w:w="120"/>
            </w:tcMar>
          </w:tcPr>
          <w:p>
            <w:pPr>
              <w:spacing w:after="40"/>
              <w:jc w:val="center"/>
            </w:pPr>
            <w:r>
              <w:rPr>
                <w:b/>
                <w:bCs/>
                <w:color w:val="1B1B1F"/>
                <w:sz w:val="20"/>
                <w:szCs w:val="20"/>
              </w:rPr>
              <w:t xml:space="preserve">480</w:t>
            </w:r>
          </w:p>
        </w:tc>
        <w:tc>
          <w:tcPr>
            <w:tcMar>
              <w:top w:type="dxa" w:w="80"/>
              <w:left w:type="dxa" w:w="120"/>
              <w:bottom w:type="dxa" w:w="80"/>
              <w:right w:type="dxa" w:w="120"/>
            </w:tcMar>
          </w:tcPr>
          <w:p>
            <w:pPr>
              <w:spacing w:after="40"/>
              <w:jc w:val="center"/>
            </w:pPr>
            <w:r>
              <w:rPr>
                <w:b/>
                <w:bCs/>
                <w:color w:val="1B1B1F"/>
                <w:sz w:val="20"/>
                <w:szCs w:val="20"/>
              </w:rPr>
              <w:t xml:space="preserve">350</w:t>
            </w:r>
          </w:p>
        </w:tc>
        <w:tc>
          <w:tcPr>
            <w:tcMar>
              <w:top w:type="dxa" w:w="80"/>
              <w:left w:type="dxa" w:w="120"/>
              <w:bottom w:type="dxa" w:w="80"/>
              <w:right w:type="dxa" w:w="120"/>
            </w:tcMar>
          </w:tcPr>
          <w:p>
            <w:pPr>
              <w:spacing w:after="40"/>
              <w:jc w:val="center"/>
            </w:pPr>
            <w:r>
              <w:rPr>
                <w:b/>
                <w:bCs/>
                <w:color w:val="1B1B1F"/>
                <w:sz w:val="20"/>
                <w:szCs w:val="20"/>
              </w:rPr>
              <w:t xml:space="preserve">200</w:t>
            </w:r>
          </w:p>
        </w:tc>
        <w:tc>
          <w:tcPr>
            <w:tcMar>
              <w:top w:type="dxa" w:w="80"/>
              <w:left w:type="dxa" w:w="120"/>
              <w:bottom w:type="dxa" w:w="80"/>
              <w:right w:type="dxa" w:w="120"/>
            </w:tcMar>
          </w:tcPr>
          <w:p>
            <w:pPr>
              <w:spacing w:after="40"/>
              <w:jc w:val="center"/>
            </w:pPr>
            <w:r>
              <w:rPr>
                <w:b/>
                <w:bCs/>
                <w:color w:val="2F7D4F"/>
                <w:sz w:val="20"/>
                <w:szCs w:val="20"/>
              </w:rPr>
              <w:t xml:space="preserve">1,680</w:t>
            </w:r>
          </w:p>
        </w:tc>
      </w:tr>
    </w:tbl>
    <w:p>
      <w:pPr>
        <w:pStyle w:val="Heading1"/>
        <w:spacing w:after="160" w:before="360"/>
      </w:pPr>
      <w:r>
        <w:rPr>
          <w:b/>
          <w:bCs/>
          <w:color w:val="1F3864"/>
          <w:sz w:val="30"/>
          <w:szCs w:val="30"/>
        </w:rPr>
        <w:t xml:space="preserve">Return on Investment and Sensitivity</w:t>
      </w:r>
    </w:p>
    <w:p>
      <w:pPr>
        <w:pStyle w:val="Heading2"/>
        <w:spacing w:after="120" w:before="240"/>
      </w:pPr>
      <w:r>
        <w:rPr>
          <w:b/>
          <w:bCs/>
          <w:color w:val="0F1F44"/>
          <w:sz w:val="24"/>
          <w:szCs w:val="24"/>
        </w:rPr>
        <w:t xml:space="preserve">Headline metrics</w:t>
      </w:r>
    </w:p>
    <w:p>
      <w:pPr>
        <w:pStyle w:val="ListParagraph"/>
        <w:numPr>
          <w:ilvl w:val="0"/>
          <w:numId w:val="2"/>
        </w:numPr>
        <w:spacing w:after="80" w:line="280"/>
      </w:pPr>
      <w:r>
        <w:t xml:space="preserve">Year-1 risk-adjusted ROI: ~4% (benefits approximately equal to spend — the purpose of Year-1 is to build the foundation, not to generate returns).</w:t>
      </w:r>
    </w:p>
    <w:p>
      <w:pPr>
        <w:pStyle w:val="ListParagraph"/>
        <w:numPr>
          <w:ilvl w:val="0"/>
          <w:numId w:val="2"/>
        </w:numPr>
        <w:spacing w:after="80" w:line="280"/>
      </w:pPr>
      <w:r>
        <w:t xml:space="preserve">Year-2 run-rate ROI: ~75–100% (benefits $3.5M+ on ~$2M run-rate spend) — driven by full-year effect of pilots at scale plus 2–3 new production use cases.</w:t>
      </w:r>
    </w:p>
    <w:p>
      <w:pPr>
        <w:pStyle w:val="ListParagraph"/>
        <w:numPr>
          <w:ilvl w:val="0"/>
          <w:numId w:val="2"/>
        </w:numPr>
        <w:spacing w:after="80" w:line="280"/>
      </w:pPr>
      <w:r>
        <w:t xml:space="preserve">Payback: within 14 months on a rolling basis (benefits cross cumulative spend by Month 14).</w:t>
      </w:r>
    </w:p>
    <w:p>
      <w:pPr>
        <w:pStyle w:val="Heading2"/>
        <w:spacing w:after="120" w:before="240"/>
      </w:pPr>
      <w:r>
        <w:rPr>
          <w:b/>
          <w:bCs/>
          <w:color w:val="0F1F44"/>
          <w:sz w:val="24"/>
          <w:szCs w:val="24"/>
        </w:rPr>
        <w:t xml:space="preserve">Sensitivity scenarios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Scenario</w:t>
            </w:r>
          </w:p>
        </w:tc>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Lever</w:t>
            </w:r>
          </w:p>
        </w:tc>
        <w:tc>
          <w:tcPr>
            <w:tcW w:type="pct" w:w="20%"/>
            <w:shd w:fill="1F3864" w:color="auto" w:val="clear"/>
            <w:tcMar>
              <w:top w:type="dxa" w:w="80"/>
              <w:left w:type="dxa" w:w="120"/>
              <w:bottom w:type="dxa" w:w="80"/>
              <w:right w:type="dxa" w:w="120"/>
            </w:tcMar>
          </w:tcPr>
          <w:p>
            <w:pPr>
              <w:spacing w:after="40"/>
              <w:jc w:val="center"/>
            </w:pPr>
            <w:r>
              <w:rPr>
                <w:b/>
                <w:bCs/>
                <w:color w:val="FFFFFF"/>
                <w:sz w:val="20"/>
                <w:szCs w:val="20"/>
              </w:rPr>
              <w:t xml:space="preserve">Year-1 benefit ($K)</w:t>
            </w:r>
          </w:p>
        </w:tc>
        <w:tc>
          <w:tcPr>
            <w:tcW w:type="pct" w:w="20%"/>
            <w:shd w:fill="1F3864" w:color="auto" w:val="clear"/>
            <w:tcMar>
              <w:top w:type="dxa" w:w="80"/>
              <w:left w:type="dxa" w:w="120"/>
              <w:bottom w:type="dxa" w:w="80"/>
              <w:right w:type="dxa" w:w="120"/>
            </w:tcMar>
          </w:tcPr>
          <w:p>
            <w:pPr>
              <w:spacing w:after="40"/>
              <w:jc w:val="center"/>
            </w:pPr>
            <w:r>
              <w:rPr>
                <w:b/>
                <w:bCs/>
                <w:color w:val="FFFFFF"/>
                <w:sz w:val="20"/>
                <w:szCs w:val="20"/>
              </w:rPr>
              <w:t xml:space="preserve">Year-1 ROI</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Downside</w:t>
            </w:r>
          </w:p>
        </w:tc>
        <w:tc>
          <w:tcPr>
            <w:tcMar>
              <w:top w:type="dxa" w:w="80"/>
              <w:left w:type="dxa" w:w="120"/>
              <w:bottom w:type="dxa" w:w="80"/>
              <w:right w:type="dxa" w:w="120"/>
            </w:tcMar>
          </w:tcPr>
          <w:p>
            <w:pPr>
              <w:spacing w:after="40"/>
              <w:jc w:val="left"/>
            </w:pPr>
            <w:r>
              <w:rPr>
                <w:b w:val="false"/>
                <w:bCs w:val="false"/>
                <w:color w:val="1B1B1F"/>
                <w:sz w:val="20"/>
                <w:szCs w:val="20"/>
              </w:rPr>
              <w:t xml:space="preserve">Dev uplift 7% (not 15%); ops adoption 15% of agents; 5% dormant licence reclaim only.</w:t>
            </w:r>
          </w:p>
        </w:tc>
        <w:tc>
          <w:tcPr>
            <w:tcMar>
              <w:top w:type="dxa" w:w="80"/>
              <w:left w:type="dxa" w:w="120"/>
              <w:bottom w:type="dxa" w:w="80"/>
              <w:right w:type="dxa" w:w="120"/>
            </w:tcMar>
          </w:tcPr>
          <w:p>
            <w:pPr>
              <w:spacing w:after="40"/>
              <w:jc w:val="center"/>
            </w:pPr>
            <w:r>
              <w:rPr>
                <w:b w:val="false"/>
                <w:bCs w:val="false"/>
                <w:color w:val="1B1B1F"/>
                <w:sz w:val="20"/>
                <w:szCs w:val="20"/>
              </w:rPr>
              <w:t xml:space="preserve">~900</w:t>
            </w:r>
          </w:p>
        </w:tc>
        <w:tc>
          <w:tcPr>
            <w:tcMar>
              <w:top w:type="dxa" w:w="80"/>
              <w:left w:type="dxa" w:w="120"/>
              <w:bottom w:type="dxa" w:w="80"/>
              <w:right w:type="dxa" w:w="120"/>
            </w:tcMar>
          </w:tcPr>
          <w:p>
            <w:pPr>
              <w:spacing w:after="40"/>
              <w:jc w:val="center"/>
            </w:pPr>
            <w:r>
              <w:rPr>
                <w:b w:val="false"/>
                <w:bCs w:val="false"/>
                <w:color w:val="B23A3A"/>
                <w:sz w:val="20"/>
                <w:szCs w:val="20"/>
              </w:rPr>
              <w:t xml:space="preserve">negative ($700K short)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Central (booked)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 §7 numbers.</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1,680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~+4%</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Upside</w:t>
            </w:r>
          </w:p>
        </w:tc>
        <w:tc>
          <w:tcPr>
            <w:tcMar>
              <w:top w:type="dxa" w:w="80"/>
              <w:left w:type="dxa" w:w="120"/>
              <w:bottom w:type="dxa" w:w="80"/>
              <w:right w:type="dxa" w:w="120"/>
            </w:tcMar>
          </w:tcPr>
          <w:p>
            <w:pPr>
              <w:spacing w:after="40"/>
              <w:jc w:val="left"/>
            </w:pPr>
            <w:r>
              <w:rPr>
                <w:b w:val="false"/>
                <w:bCs w:val="false"/>
                <w:color w:val="1B1B1F"/>
                <w:sz w:val="20"/>
                <w:szCs w:val="20"/>
              </w:rPr>
              <w:t xml:space="preserve">Dev uplift 22%; ops adoption 35% by year-end; second operational pilot launched in Q3.</w:t>
            </w:r>
          </w:p>
        </w:tc>
        <w:tc>
          <w:tcPr>
            <w:tcMar>
              <w:top w:type="dxa" w:w="80"/>
              <w:left w:type="dxa" w:w="120"/>
              <w:bottom w:type="dxa" w:w="80"/>
              <w:right w:type="dxa" w:w="120"/>
            </w:tcMar>
          </w:tcPr>
          <w:p>
            <w:pPr>
              <w:spacing w:after="40"/>
              <w:jc w:val="center"/>
            </w:pPr>
            <w:r>
              <w:rPr>
                <w:b w:val="false"/>
                <w:bCs w:val="false"/>
                <w:color w:val="2F7D4F"/>
                <w:sz w:val="20"/>
                <w:szCs w:val="20"/>
              </w:rPr>
              <w:t xml:space="preserve">~2,600</w:t>
            </w:r>
          </w:p>
        </w:tc>
        <w:tc>
          <w:tcPr>
            <w:tcMar>
              <w:top w:type="dxa" w:w="80"/>
              <w:left w:type="dxa" w:w="120"/>
              <w:bottom w:type="dxa" w:w="80"/>
              <w:right w:type="dxa" w:w="120"/>
            </w:tcMar>
          </w:tcPr>
          <w:p>
            <w:pPr>
              <w:spacing w:after="40"/>
              <w:jc w:val="center"/>
            </w:pPr>
            <w:r>
              <w:rPr>
                <w:b w:val="false"/>
                <w:bCs w:val="false"/>
                <w:color w:val="2F7D4F"/>
                <w:sz w:val="20"/>
                <w:szCs w:val="20"/>
              </w:rPr>
              <w:t xml:space="preserve">~+60%</w:t>
            </w:r>
          </w:p>
        </w:tc>
      </w:tr>
    </w:tbl>
    <w:p>
      <w:pPr>
        <w:spacing w:after="80"/>
      </w:pPr>
      <w:r>
        <w:rPr>
          <w:i/>
          <w:iCs/>
          <w:color w:val="5A5A66"/>
          <w:sz w:val="20"/>
          <w:szCs w:val="20"/>
        </w:rPr>
        <w:t xml:space="preserve">Downside scenario is the most important case to read. Even in the downside, the programme is within the contingency envelope and the operating-model value (governance, control of M365 Copilot posture, ability to approve further AI investment) is unaffected.</w:t>
      </w:r>
    </w:p>
    <w:p>
      <w:pPr>
        <w:pStyle w:val="Heading1"/>
        <w:spacing w:after="160" w:before="360"/>
      </w:pPr>
      <w:r>
        <w:rPr>
          <w:b/>
          <w:bCs/>
          <w:color w:val="1F3864"/>
          <w:sz w:val="30"/>
          <w:szCs w:val="30"/>
        </w:rPr>
        <w:t xml:space="preserve">Financial and Delivery Risks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Risk</w:t>
            </w:r>
          </w:p>
        </w:tc>
        <w:tc>
          <w:tcPr>
            <w:tcW w:type="pct" w:w="12%"/>
            <w:shd w:fill="1F3864" w:color="auto" w:val="clear"/>
            <w:tcMar>
              <w:top w:type="dxa" w:w="80"/>
              <w:left w:type="dxa" w:w="120"/>
              <w:bottom w:type="dxa" w:w="80"/>
              <w:right w:type="dxa" w:w="120"/>
            </w:tcMar>
          </w:tcPr>
          <w:p>
            <w:pPr>
              <w:spacing w:after="40"/>
              <w:jc w:val="center"/>
            </w:pPr>
            <w:r>
              <w:rPr>
                <w:b/>
                <w:bCs/>
                <w:color w:val="FFFFFF"/>
                <w:sz w:val="20"/>
                <w:szCs w:val="20"/>
              </w:rPr>
              <w:t xml:space="preserve">L × I</w:t>
            </w:r>
          </w:p>
        </w:tc>
        <w:tc>
          <w:tcPr>
            <w:tcW w:type="pct" w:w="44%"/>
            <w:shd w:fill="1F3864" w:color="auto" w:val="clear"/>
            <w:tcMar>
              <w:top w:type="dxa" w:w="80"/>
              <w:left w:type="dxa" w:w="120"/>
              <w:bottom w:type="dxa" w:w="80"/>
              <w:right w:type="dxa" w:w="120"/>
            </w:tcMar>
          </w:tcPr>
          <w:p>
            <w:pPr>
              <w:spacing w:after="40"/>
              <w:jc w:val="left"/>
            </w:pPr>
            <w:r>
              <w:rPr>
                <w:b/>
                <w:bCs/>
                <w:color w:val="FFFFFF"/>
                <w:sz w:val="20"/>
                <w:szCs w:val="20"/>
              </w:rPr>
              <w:t xml:space="preserve">Mitigation</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Benefits fail to materialise at pilot scale</w:t>
            </w:r>
          </w:p>
        </w:tc>
        <w:tc>
          <w:tcPr>
            <w:tcMar>
              <w:top w:type="dxa" w:w="80"/>
              <w:left w:type="dxa" w:w="120"/>
              <w:bottom w:type="dxa" w:w="80"/>
              <w:right w:type="dxa" w:w="120"/>
            </w:tcMar>
          </w:tcPr>
          <w:p>
            <w:pPr>
              <w:spacing w:after="40"/>
              <w:jc w:val="center"/>
            </w:pPr>
            <w:r>
              <w:rPr>
                <w:b/>
                <w:bCs/>
                <w:color w:val="B23A3A"/>
                <w:sz w:val="20"/>
                <w:szCs w:val="20"/>
              </w:rPr>
              <w:t xml:space="preserve">M × H</w:t>
            </w:r>
          </w:p>
        </w:tc>
        <w:tc>
          <w:tcPr>
            <w:tcMar>
              <w:top w:type="dxa" w:w="80"/>
              <w:left w:type="dxa" w:w="120"/>
              <w:bottom w:type="dxa" w:w="80"/>
              <w:right w:type="dxa" w:w="120"/>
            </w:tcMar>
          </w:tcPr>
          <w:p>
            <w:pPr>
              <w:spacing w:after="40"/>
              <w:jc w:val="left"/>
            </w:pPr>
            <w:r>
              <w:rPr>
                <w:b w:val="false"/>
                <w:bCs w:val="false"/>
                <w:color w:val="1B1B1F"/>
                <w:sz w:val="20"/>
                <w:szCs w:val="20"/>
              </w:rPr>
              <w:t xml:space="preserve">Hard baselines pre-pilot; go/no-go gates at Day 90; ring-fenced measurement; sponsor accountability in OKRs.</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FX shock widens USD-denominated spend vs. local budget</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M × 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Monthly re-baseline; 15% contingency; escalation threshold at &gt;10% variance.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Finance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Foundry consumption over-runs due to unmanaged Opus 4.7 use</w:t>
            </w:r>
          </w:p>
        </w:tc>
        <w:tc>
          <w:tcPr>
            <w:tcMar>
              <w:top w:type="dxa" w:w="80"/>
              <w:left w:type="dxa" w:w="120"/>
              <w:bottom w:type="dxa" w:w="80"/>
              <w:right w:type="dxa" w:w="120"/>
            </w:tcMar>
          </w:tcPr>
          <w:p>
            <w:pPr>
              <w:spacing w:after="40"/>
              <w:jc w:val="center"/>
            </w:pPr>
            <w:r>
              <w:rPr>
                <w:b/>
                <w:bCs/>
                <w:color w:val="E2A72E"/>
                <w:sz w:val="20"/>
                <w:szCs w:val="20"/>
              </w:rPr>
              <w:t xml:space="preserve">M × M</w:t>
            </w:r>
          </w:p>
        </w:tc>
        <w:tc>
          <w:tcPr>
            <w:tcMar>
              <w:top w:type="dxa" w:w="80"/>
              <w:left w:type="dxa" w:w="120"/>
              <w:bottom w:type="dxa" w:w="80"/>
              <w:right w:type="dxa" w:w="120"/>
            </w:tcMar>
          </w:tcPr>
          <w:p>
            <w:pPr>
              <w:spacing w:after="40"/>
              <w:jc w:val="left"/>
            </w:pPr>
            <w:r>
              <w:rPr>
                <w:b w:val="false"/>
                <w:bCs w:val="false"/>
                <w:color w:val="1B1B1F"/>
                <w:sz w:val="20"/>
                <w:szCs w:val="20"/>
              </w:rPr>
              <w:t xml:space="preserve">Model-tier policies in Foundry; weekly consumption report; automated alerts at 70%/90% of monthly cap.</w:t>
            </w:r>
          </w:p>
        </w:tc>
        <w:tc>
          <w:tcPr>
            <w:tcMar>
              <w:top w:type="dxa" w:w="80"/>
              <w:left w:type="dxa" w:w="120"/>
              <w:bottom w:type="dxa" w:w="80"/>
              <w:right w:type="dxa" w:w="120"/>
            </w:tcMar>
          </w:tcPr>
          <w:p>
            <w:pPr>
              <w:spacing w:after="40"/>
              <w:jc w:val="left"/>
            </w:pPr>
            <w:r>
              <w:rPr>
                <w:b w:val="false"/>
                <w:bCs w:val="false"/>
                <w:color w:val="1B1B1F"/>
                <w:sz w:val="20"/>
                <w:szCs w:val="20"/>
              </w:rPr>
              <w:t xml:space="preserve">Platform Eng</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Hiring slips; people spend under-runs but delivery suffers</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H × 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Partner bench covers up to 90 days; recruitment started Day 1; backlog of internal candidates identified pre-start.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HR / Head of AI</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Material AI incident forces programme pause</w:t>
            </w:r>
          </w:p>
        </w:tc>
        <w:tc>
          <w:tcPr>
            <w:tcMar>
              <w:top w:type="dxa" w:w="80"/>
              <w:left w:type="dxa" w:w="120"/>
              <w:bottom w:type="dxa" w:w="80"/>
              <w:right w:type="dxa" w:w="120"/>
            </w:tcMar>
          </w:tcPr>
          <w:p>
            <w:pPr>
              <w:spacing w:after="40"/>
              <w:jc w:val="center"/>
            </w:pPr>
            <w:r>
              <w:rPr>
                <w:b/>
                <w:bCs/>
                <w:color w:val="E2A72E"/>
                <w:sz w:val="20"/>
                <w:szCs w:val="20"/>
              </w:rPr>
              <w:t xml:space="preserve">L × H</w:t>
            </w:r>
          </w:p>
        </w:tc>
        <w:tc>
          <w:tcPr>
            <w:tcMar>
              <w:top w:type="dxa" w:w="80"/>
              <w:left w:type="dxa" w:w="120"/>
              <w:bottom w:type="dxa" w:w="80"/>
              <w:right w:type="dxa" w:w="120"/>
            </w:tcMar>
          </w:tcPr>
          <w:p>
            <w:pPr>
              <w:spacing w:after="40"/>
              <w:jc w:val="left"/>
            </w:pPr>
            <w:r>
              <w:rPr>
                <w:b w:val="false"/>
                <w:bCs w:val="false"/>
                <w:color w:val="1B1B1F"/>
                <w:sz w:val="20"/>
                <w:szCs w:val="20"/>
              </w:rPr>
              <w:t xml:space="preserve">Governance-first approach precisely to avoid this; incident playbooks in Framework §11; 72-hour regulator readiness.</w:t>
            </w:r>
          </w:p>
        </w:tc>
        <w:tc>
          <w:tcPr>
            <w:tcMar>
              <w:top w:type="dxa" w:w="80"/>
              <w:left w:type="dxa" w:w="120"/>
              <w:bottom w:type="dxa" w:w="80"/>
              <w:right w:type="dxa" w:w="120"/>
            </w:tcMar>
          </w:tcPr>
          <w:p>
            <w:pPr>
              <w:spacing w:after="40"/>
              <w:jc w:val="left"/>
            </w:pPr>
            <w:r>
              <w:rPr>
                <w:b w:val="false"/>
                <w:bCs w:val="false"/>
                <w:color w:val="1B1B1F"/>
                <w:sz w:val="20"/>
                <w:szCs w:val="20"/>
              </w:rPr>
              <w:t xml:space="preserve">CISO / DPO</w:t>
            </w:r>
          </w:p>
        </w:tc>
      </w:tr>
    </w:tbl>
    <w:p>
      <w:pPr>
        <w:pStyle w:val="Heading1"/>
        <w:spacing w:after="160" w:before="360"/>
      </w:pPr>
      <w:r>
        <w:rPr>
          <w:b/>
          <w:bCs/>
          <w:color w:val="1F3864"/>
          <w:sz w:val="30"/>
          <w:szCs w:val="30"/>
        </w:rPr>
        <w:t xml:space="preserve">Funding and Governance of Spend</w:t>
      </w:r>
    </w:p>
    <w:p>
      <w:pPr>
        <w:pStyle w:val="ListParagraph"/>
        <w:numPr>
          <w:ilvl w:val="0"/>
          <w:numId w:val="2"/>
        </w:numPr>
        <w:spacing w:after="80" w:line="280"/>
      </w:pPr>
      <w:r>
        <w:t xml:space="preserve">All Azure / Foundry / Claude-on-Foundry consumption is billed under the existing Microsoft Azure Consumption Commitment (MACC) — no separate procurement event required for Year-1.</w:t>
      </w:r>
    </w:p>
    <w:p>
      <w:pPr>
        <w:pStyle w:val="ListParagraph"/>
        <w:numPr>
          <w:ilvl w:val="0"/>
          <w:numId w:val="2"/>
        </w:numPr>
        <w:spacing w:after="80" w:line="280"/>
      </w:pPr>
      <w:r>
        <w:t xml:space="preserve">GitHub Copilot Enterprise, GHAS and Dev Box are procured on annual agreements under the existing EA; pilot cohort starts month 2, full rollout ramp decision at Day 90.</w:t>
      </w:r>
    </w:p>
    <w:p>
      <w:pPr>
        <w:pStyle w:val="ListParagraph"/>
        <w:numPr>
          <w:ilvl w:val="0"/>
          <w:numId w:val="2"/>
        </w:numPr>
        <w:spacing w:after="80" w:line="280"/>
      </w:pPr>
      <w:r>
        <w:t xml:space="preserve">Partner spend is gated: each engagement has a fixed-price stage-1 and a T&amp;M stage-2 contingent on stage-1 acceptance.</w:t>
      </w:r>
    </w:p>
    <w:p>
      <w:pPr>
        <w:pStyle w:val="ListParagraph"/>
        <w:numPr>
          <w:ilvl w:val="0"/>
          <w:numId w:val="2"/>
        </w:numPr>
        <w:spacing w:after="80" w:line="280"/>
      </w:pPr>
      <w:r>
        <w:t xml:space="preserve">The 15% contingency is held by the programme, not the workstreams, and released only on written variance request with explanation.</w:t>
      </w:r>
    </w:p>
    <w:p>
      <w:pPr>
        <w:pStyle w:val="ListParagraph"/>
        <w:numPr>
          <w:ilvl w:val="0"/>
          <w:numId w:val="2"/>
        </w:numPr>
        <w:spacing w:after="80" w:line="280"/>
      </w:pPr>
      <w:r>
        <w:t xml:space="preserve">Monthly financial pack issued to CFO and CIO; quarterly pack to ExCo; forecast-vs-actuals shown at line-item level.</w:t>
      </w:r>
    </w:p>
    <w:p>
      <w:pPr>
        <w:pStyle w:val="Heading1"/>
        <w:spacing w:after="160" w:before="360"/>
      </w:pPr>
      <w:r>
        <w:rPr>
          <w:b/>
          <w:bCs/>
          <w:color w:val="1F3864"/>
          <w:sz w:val="30"/>
          <w:szCs w:val="30"/>
        </w:rPr>
        <w:t xml:space="preserve">Decision Ask</w:t>
      </w:r>
    </w:p>
    <w:p>
      <w:pPr>
        <w:spacing w:after="120" w:line="300"/>
      </w:pPr>
      <w:r>
        <w:t xml:space="preserve">ExCo is asked to approve:</w:t>
      </w:r>
    </w:p>
    <w:p>
      <w:pPr>
        <w:pStyle w:val="ListParagraph"/>
        <w:numPr>
          <w:ilvl w:val="0"/>
          <w:numId w:val="2"/>
        </w:numPr>
        <w:spacing w:after="80" w:line="280"/>
      </w:pPr>
      <w:r>
        <w:t xml:space="preserve">A Year-1 incremental budget of $1.61M (plus a capped 15% contingency included in the number), under the phasing and gates described in §6.</w:t>
      </w:r>
    </w:p>
    <w:p>
      <w:pPr>
        <w:pStyle w:val="ListParagraph"/>
        <w:numPr>
          <w:ilvl w:val="0"/>
          <w:numId w:val="2"/>
        </w:numPr>
        <w:spacing w:after="80" w:line="280"/>
      </w:pPr>
      <w:r>
        <w:t xml:space="preserve">The hiring plan in §6, with the AI Governance Lead and AI Platform Engineer filled within 60 days.</w:t>
      </w:r>
    </w:p>
    <w:p>
      <w:pPr>
        <w:pStyle w:val="ListParagraph"/>
        <w:numPr>
          <w:ilvl w:val="0"/>
          <w:numId w:val="2"/>
        </w:numPr>
        <w:spacing w:after="80" w:line="280"/>
      </w:pPr>
      <w:r>
        <w:t xml:space="preserve">The AI Council charter and delegated decision authority over AI use cases up to Tier 2 (Tier 1 remains an ExCo / BRC approval).</w:t>
      </w:r>
    </w:p>
    <w:p>
      <w:pPr>
        <w:pStyle w:val="ListParagraph"/>
        <w:numPr>
          <w:ilvl w:val="0"/>
          <w:numId w:val="2"/>
        </w:numPr>
        <w:spacing w:after="80" w:line="280"/>
      </w:pPr>
      <w:r>
        <w:t xml:space="preserve">A Day-90 review point at which the 12-month forward roadmap and run-rate budget are confirmed or rebaselined with evidence.</w:t>
      </w:r>
    </w:p>
    <w:p>
      <w:pPr>
        <w:spacing w:after="80"/>
      </w:pPr>
      <w:r>
        <w:rPr>
          <w:i/>
          <w:iCs/>
          <w:color w:val="5A5A66"/>
          <w:sz w:val="20"/>
          <w:szCs w:val="20"/>
        </w:rPr>
        <w:t xml:space="preserve">This case is deliberately small. If it works at Day 90, Year-2 investment will be informed by measured evidence, not argument.</w:t>
      </w:r>
    </w:p>
    <w:p>
      <w:pPr>
        <w:pStyle w:val="Heading1"/>
        <w:spacing w:after="160" w:before="360"/>
      </w:pPr>
      <w:r>
        <w:rPr>
          <w:b/>
          <w:bCs/>
          <w:color w:val="1F3864"/>
          <w:sz w:val="30"/>
          <w:szCs w:val="30"/>
        </w:rPr>
        <w:t xml:space="preserve">Appendix A: Assumptions Register (high-materiality only)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Assumption</w:t>
            </w:r>
          </w:p>
        </w:tc>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How tested</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~120 engineers reachable by developer-productivity pilot in H2.</w:t>
            </w:r>
          </w:p>
        </w:tc>
        <w:tc>
          <w:tcPr>
            <w:tcMar>
              <w:top w:type="dxa" w:w="80"/>
              <w:left w:type="dxa" w:w="120"/>
              <w:bottom w:type="dxa" w:w="80"/>
              <w:right w:type="dxa" w:w="120"/>
            </w:tcMar>
          </w:tcPr>
          <w:p>
            <w:pPr>
              <w:spacing w:after="40"/>
              <w:jc w:val="left"/>
            </w:pPr>
            <w:r>
              <w:rPr>
                <w:b w:val="false"/>
                <w:bCs w:val="false"/>
                <w:color w:val="1B1B1F"/>
                <w:sz w:val="20"/>
                <w:szCs w:val="20"/>
              </w:rPr>
              <w:t xml:space="preserve">Head of Eng</w:t>
            </w:r>
          </w:p>
        </w:tc>
        <w:tc>
          <w:tcPr>
            <w:tcMar>
              <w:top w:type="dxa" w:w="80"/>
              <w:left w:type="dxa" w:w="120"/>
              <w:bottom w:type="dxa" w:w="80"/>
              <w:right w:type="dxa" w:w="120"/>
            </w:tcMar>
          </w:tcPr>
          <w:p>
            <w:pPr>
              <w:spacing w:after="40"/>
              <w:jc w:val="left"/>
            </w:pPr>
            <w:r>
              <w:rPr>
                <w:b w:val="false"/>
                <w:bCs w:val="false"/>
                <w:color w:val="1B1B1F"/>
                <w:sz w:val="20"/>
                <w:szCs w:val="20"/>
              </w:rPr>
              <w:t xml:space="preserve">Pilot cohort confirmed Day 30; scale cohort named Day 60.</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AHT reduction of 10–15% on target service queues.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Head of Ops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Pre-baseline + 4-week controlled pilot at Day 45–60.</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~10% M365 Copilot licence dormancy recoverable.</w:t>
            </w:r>
          </w:p>
        </w:tc>
        <w:tc>
          <w:tcPr>
            <w:tcMar>
              <w:top w:type="dxa" w:w="80"/>
              <w:left w:type="dxa" w:w="120"/>
              <w:bottom w:type="dxa" w:w="80"/>
              <w:right w:type="dxa" w:w="120"/>
            </w:tcMar>
          </w:tcPr>
          <w:p>
            <w:pPr>
              <w:spacing w:after="40"/>
              <w:jc w:val="left"/>
            </w:pPr>
            <w:r>
              <w:rPr>
                <w:b w:val="false"/>
                <w:bCs w:val="false"/>
                <w:color w:val="1B1B1F"/>
                <w:sz w:val="20"/>
                <w:szCs w:val="20"/>
              </w:rPr>
              <w:t xml:space="preserve">IT Service Mgmt</w:t>
            </w:r>
          </w:p>
        </w:tc>
        <w:tc>
          <w:tcPr>
            <w:tcMar>
              <w:top w:type="dxa" w:w="80"/>
              <w:left w:type="dxa" w:w="120"/>
              <w:bottom w:type="dxa" w:w="80"/>
              <w:right w:type="dxa" w:w="120"/>
            </w:tcMar>
          </w:tcPr>
          <w:p>
            <w:pPr>
              <w:spacing w:after="40"/>
              <w:jc w:val="left"/>
            </w:pPr>
            <w:r>
              <w:rPr>
                <w:b w:val="false"/>
                <w:bCs w:val="false"/>
                <w:color w:val="1B1B1F"/>
                <w:sz w:val="20"/>
                <w:szCs w:val="20"/>
              </w:rPr>
              <w:t xml:space="preserve">Copilot Dashboard data at Day 30; reallocation Day 60.</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MACC envelope has headroom to absorb $380K Year-1.</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Finance / CIO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Confirmed in writing with MS account team by Day 10.</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No material new AI regulation in the next 12 months that invalidates the framework.</w:t>
            </w:r>
          </w:p>
        </w:tc>
        <w:tc>
          <w:tcPr>
            <w:tcMar>
              <w:top w:type="dxa" w:w="80"/>
              <w:left w:type="dxa" w:w="120"/>
              <w:bottom w:type="dxa" w:w="80"/>
              <w:right w:type="dxa" w:w="120"/>
            </w:tcMar>
          </w:tcPr>
          <w:p>
            <w:pPr>
              <w:spacing w:after="40"/>
              <w:jc w:val="left"/>
            </w:pPr>
            <w:r>
              <w:rPr>
                <w:b w:val="false"/>
                <w:bCs w:val="false"/>
                <w:color w:val="1B1B1F"/>
                <w:sz w:val="20"/>
                <w:szCs w:val="20"/>
              </w:rPr>
              <w:t xml:space="preserve">General Counsel</w:t>
            </w:r>
          </w:p>
        </w:tc>
        <w:tc>
          <w:tcPr>
            <w:tcMar>
              <w:top w:type="dxa" w:w="80"/>
              <w:left w:type="dxa" w:w="120"/>
              <w:bottom w:type="dxa" w:w="80"/>
              <w:right w:type="dxa" w:w="120"/>
            </w:tcMar>
          </w:tcPr>
          <w:p>
            <w:pPr>
              <w:spacing w:after="40"/>
              <w:jc w:val="left"/>
            </w:pPr>
            <w:r>
              <w:rPr>
                <w:b w:val="false"/>
                <w:bCs w:val="false"/>
                <w:color w:val="1B1B1F"/>
                <w:sz w:val="20"/>
                <w:szCs w:val="20"/>
              </w:rPr>
              <w:t xml:space="preserve">Horizon-scan cadence monthly; framework updated on material change.</w:t>
            </w:r>
          </w:p>
        </w:tc>
      </w:tr>
    </w:tbl>
    <w:p>
      <w:pPr>
        <w:pStyle w:val="Heading1"/>
        <w:spacing w:after="160" w:before="360"/>
      </w:pPr>
      <w:r>
        <w:rPr>
          <w:b/>
          <w:bCs/>
          <w:color w:val="1F3864"/>
          <w:sz w:val="30"/>
          <w:szCs w:val="30"/>
        </w:rPr>
        <w:t xml:space="preserve">Appendix B: Three-Year Outlook (indicative)</w:t>
      </w:r>
    </w:p>
    <w:p>
      <w:pPr>
        <w:spacing w:after="80"/>
      </w:pPr>
      <w:r>
        <w:rPr>
          <w:i/>
          <w:iCs/>
          <w:color w:val="5A5A66"/>
          <w:sz w:val="20"/>
          <w:szCs w:val="20"/>
        </w:rPr>
        <w:t xml:space="preserve">Directional only; refreshed at the end of Year-1 with measured evidence.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34%"/>
            <w:shd w:fill="1F3864" w:color="auto" w:val="clear"/>
            <w:tcMar>
              <w:top w:type="dxa" w:w="80"/>
              <w:left w:type="dxa" w:w="120"/>
              <w:bottom w:type="dxa" w:w="80"/>
              <w:right w:type="dxa" w:w="120"/>
            </w:tcMar>
          </w:tcPr>
          <w:p>
            <w:pPr>
              <w:spacing w:after="40"/>
              <w:jc w:val="left"/>
            </w:pPr>
            <w:r>
              <w:rPr>
                <w:b/>
                <w:bCs/>
                <w:color w:val="FFFFFF"/>
                <w:sz w:val="20"/>
                <w:szCs w:val="20"/>
              </w:rPr>
              <w:t xml:space="preserve">Line</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Year 1 ($K)</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Year 2 ($K)</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Year 3 ($K)</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Comment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Spend (incremental, ex. M365 Copilot)</w:t>
            </w:r>
          </w:p>
        </w:tc>
        <w:tc>
          <w:tcPr>
            <w:tcMar>
              <w:top w:type="dxa" w:w="80"/>
              <w:left w:type="dxa" w:w="120"/>
              <w:bottom w:type="dxa" w:w="80"/>
              <w:right w:type="dxa" w:w="120"/>
            </w:tcMar>
          </w:tcPr>
          <w:p>
            <w:pPr>
              <w:spacing w:after="40"/>
              <w:jc w:val="center"/>
            </w:pPr>
            <w:r>
              <w:rPr>
                <w:b w:val="false"/>
                <w:bCs w:val="false"/>
                <w:color w:val="1B1B1F"/>
                <w:sz w:val="20"/>
                <w:szCs w:val="20"/>
              </w:rPr>
              <w:t xml:space="preserve">1,610</w:t>
            </w:r>
          </w:p>
        </w:tc>
        <w:tc>
          <w:tcPr>
            <w:tcMar>
              <w:top w:type="dxa" w:w="80"/>
              <w:left w:type="dxa" w:w="120"/>
              <w:bottom w:type="dxa" w:w="80"/>
              <w:right w:type="dxa" w:w="120"/>
            </w:tcMar>
          </w:tcPr>
          <w:p>
            <w:pPr>
              <w:spacing w:after="40"/>
              <w:jc w:val="center"/>
            </w:pPr>
            <w:r>
              <w:rPr>
                <w:b w:val="false"/>
                <w:bCs w:val="false"/>
                <w:color w:val="1B1B1F"/>
                <w:sz w:val="20"/>
                <w:szCs w:val="20"/>
              </w:rPr>
              <w:t xml:space="preserve">2,000</w:t>
            </w:r>
          </w:p>
        </w:tc>
        <w:tc>
          <w:tcPr>
            <w:tcMar>
              <w:top w:type="dxa" w:w="80"/>
              <w:left w:type="dxa" w:w="120"/>
              <w:bottom w:type="dxa" w:w="80"/>
              <w:right w:type="dxa" w:w="120"/>
            </w:tcMar>
          </w:tcPr>
          <w:p>
            <w:pPr>
              <w:spacing w:after="40"/>
              <w:jc w:val="center"/>
            </w:pPr>
            <w:r>
              <w:rPr>
                <w:b w:val="false"/>
                <w:bCs w:val="false"/>
                <w:color w:val="1B1B1F"/>
                <w:sz w:val="20"/>
                <w:szCs w:val="20"/>
              </w:rPr>
              <w:t xml:space="preserve">2,300</w:t>
            </w:r>
          </w:p>
        </w:tc>
        <w:tc>
          <w:tcPr>
            <w:tcMar>
              <w:top w:type="dxa" w:w="80"/>
              <w:left w:type="dxa" w:w="120"/>
              <w:bottom w:type="dxa" w:w="80"/>
              <w:right w:type="dxa" w:w="120"/>
            </w:tcMar>
          </w:tcPr>
          <w:p>
            <w:pPr>
              <w:spacing w:after="40"/>
              <w:jc w:val="left"/>
            </w:pPr>
            <w:r>
              <w:rPr>
                <w:b w:val="false"/>
                <w:bCs w:val="false"/>
                <w:color w:val="1B1B1F"/>
                <w:sz w:val="20"/>
                <w:szCs w:val="20"/>
              </w:rPr>
              <w:t xml:space="preserve">Run-rate + new use cases.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Risk-adjusted benefit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1,680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3,500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5,500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Conservative.</w:t>
            </w:r>
          </w:p>
        </w:tc>
      </w:tr>
      <w:tr>
        <w:tc>
          <w:tcPr>
            <w:tcMar>
              <w:top w:type="dxa" w:w="80"/>
              <w:left w:type="dxa" w:w="120"/>
              <w:bottom w:type="dxa" w:w="80"/>
              <w:right w:type="dxa" w:w="120"/>
            </w:tcMar>
          </w:tcPr>
          <w:p>
            <w:pPr>
              <w:spacing w:after="40"/>
              <w:jc w:val="left"/>
            </w:pPr>
            <w:r>
              <w:rPr>
                <w:b/>
                <w:bCs/>
                <w:color w:val="2F7D4F"/>
                <w:sz w:val="20"/>
                <w:szCs w:val="20"/>
              </w:rPr>
              <w:t xml:space="preserve">Net</w:t>
            </w:r>
          </w:p>
        </w:tc>
        <w:tc>
          <w:tcPr>
            <w:tcMar>
              <w:top w:type="dxa" w:w="80"/>
              <w:left w:type="dxa" w:w="120"/>
              <w:bottom w:type="dxa" w:w="80"/>
              <w:right w:type="dxa" w:w="120"/>
            </w:tcMar>
          </w:tcPr>
          <w:p>
            <w:pPr>
              <w:spacing w:after="40"/>
              <w:jc w:val="center"/>
            </w:pPr>
            <w:r>
              <w:rPr>
                <w:b/>
                <w:bCs/>
                <w:color w:val="1B1B1F"/>
                <w:sz w:val="20"/>
                <w:szCs w:val="20"/>
              </w:rPr>
              <w:t xml:space="preserve">+70</w:t>
            </w:r>
          </w:p>
        </w:tc>
        <w:tc>
          <w:tcPr>
            <w:tcMar>
              <w:top w:type="dxa" w:w="80"/>
              <w:left w:type="dxa" w:w="120"/>
              <w:bottom w:type="dxa" w:w="80"/>
              <w:right w:type="dxa" w:w="120"/>
            </w:tcMar>
          </w:tcPr>
          <w:p>
            <w:pPr>
              <w:spacing w:after="40"/>
              <w:jc w:val="center"/>
            </w:pPr>
            <w:r>
              <w:rPr>
                <w:b/>
                <w:bCs/>
                <w:color w:val="2F7D4F"/>
                <w:sz w:val="20"/>
                <w:szCs w:val="20"/>
              </w:rPr>
              <w:t xml:space="preserve">+1,500</w:t>
            </w:r>
          </w:p>
        </w:tc>
        <w:tc>
          <w:tcPr>
            <w:tcMar>
              <w:top w:type="dxa" w:w="80"/>
              <w:left w:type="dxa" w:w="120"/>
              <w:bottom w:type="dxa" w:w="80"/>
              <w:right w:type="dxa" w:w="120"/>
            </w:tcMar>
          </w:tcPr>
          <w:p>
            <w:pPr>
              <w:spacing w:after="40"/>
              <w:jc w:val="center"/>
            </w:pPr>
            <w:r>
              <w:rPr>
                <w:b/>
                <w:bCs/>
                <w:color w:val="2F7D4F"/>
                <w:sz w:val="20"/>
                <w:szCs w:val="20"/>
              </w:rPr>
              <w:t xml:space="preserve">+3,200</w:t>
            </w:r>
          </w:p>
        </w:tc>
        <w:tc>
          <w:tcPr>
            <w:tcMar>
              <w:top w:type="dxa" w:w="80"/>
              <w:left w:type="dxa" w:w="120"/>
              <w:bottom w:type="dxa" w:w="80"/>
              <w:right w:type="dxa" w:w="120"/>
            </w:tcMar>
          </w:tcPr>
          <w:p>
            <w:pPr>
              <w:spacing w:after="40"/>
              <w:jc w:val="left"/>
            </w:pPr>
            <w:r>
              <w:rPr>
                <w:b w:val="false"/>
                <w:bCs w:val="false"/>
                <w:color w:val="1B1B1F"/>
                <w:sz w:val="20"/>
                <w:szCs w:val="20"/>
              </w:rPr>
              <w:t xml:space="preserve">Revisited annually.</w:t>
            </w:r>
          </w:p>
        </w:tc>
      </w:tr>
    </w:tbl>
    <w:p>
      <w:pPr>
        <w:pStyle w:val="Heading1"/>
        <w:spacing w:after="160" w:before="360"/>
      </w:pPr>
      <w:r>
        <w:rPr>
          <w:b/>
          <w:bCs/>
          <w:color w:val="1F3864"/>
          <w:sz w:val="30"/>
          <w:szCs w:val="30"/>
        </w:rPr>
        <w:t xml:space="preserve">Appendix C: Glossary</w:t>
      </w:r>
    </w:p>
    <w:p>
      <w:pPr>
        <w:pStyle w:val="ListParagraph"/>
        <w:numPr>
          <w:ilvl w:val="0"/>
          <w:numId w:val="2"/>
        </w:numPr>
        <w:spacing w:after="80" w:line="280"/>
      </w:pPr>
      <w:r>
        <w:t xml:space="preserve">MACC — Microsoft Azure Consumption Commitment. The enterprise's pre-committed Azure spend under which eligible services (including Foundry and Claude on Foundry) are billed.</w:t>
      </w:r>
    </w:p>
    <w:p>
      <w:pPr>
        <w:pStyle w:val="ListParagraph"/>
        <w:numPr>
          <w:ilvl w:val="0"/>
          <w:numId w:val="2"/>
        </w:numPr>
        <w:spacing w:after="80" w:line="280"/>
      </w:pPr>
      <w:r>
        <w:t xml:space="preserve">PTU — Provisioned Throughput Unit. Reserved capacity for Azure OpenAI models, typically cheaper at scale than pay-as-you-go.</w:t>
      </w:r>
    </w:p>
    <w:p>
      <w:pPr>
        <w:pStyle w:val="ListParagraph"/>
        <w:numPr>
          <w:ilvl w:val="0"/>
          <w:numId w:val="2"/>
        </w:numPr>
        <w:spacing w:after="80" w:line="280"/>
      </w:pPr>
      <w:r>
        <w:t xml:space="preserve">DORA — DevOps Research and Assessment metrics (lead time, deployment frequency, change-failure rate, mean time to restore).</w:t>
      </w:r>
    </w:p>
    <w:p>
      <w:pPr>
        <w:pStyle w:val="ListParagraph"/>
        <w:numPr>
          <w:ilvl w:val="0"/>
          <w:numId w:val="2"/>
        </w:numPr>
        <w:spacing w:after="80" w:line="280"/>
      </w:pPr>
      <w:r>
        <w:t xml:space="preserve">GHAS — GitHub Advanced Security. Adds Copilot Autofix, code / secret scanning and dependency review to GitHub Enterprise.</w:t>
      </w:r>
    </w:p>
    <w:p>
      <w:pPr>
        <w:pStyle w:val="ListParagraph"/>
        <w:numPr>
          <w:ilvl w:val="0"/>
          <w:numId w:val="2"/>
        </w:numPr>
        <w:spacing w:after="80" w:line="280"/>
      </w:pPr>
      <w:r>
        <w:t xml:space="preserve">Loaded cost — fully-loaded annual cost of an employee (salary + benefits + on-costs + overhead).</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Business Case &amp; Budget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&amp; Automation Business Case and Budget v1.0</dc:title>
  <dc:creator>Head of AI &amp; Automation</dc:creator>
  <cp:lastModifiedBy>Un-named</cp:lastModifiedBy>
  <cp:revision>1</cp:revision>
  <dcterms:created xsi:type="dcterms:W3CDTF">2026-04-22T15:37:43.440Z</dcterms:created>
  <dcterms:modified xsi:type="dcterms:W3CDTF">2026-04-22T15:37:43.441Z</dcterms:modified>
</cp:coreProperties>
</file>

<file path=docProps/custom.xml><?xml version="1.0" encoding="utf-8"?>
<Properties xmlns="http://schemas.openxmlformats.org/officeDocument/2006/custom-properties" xmlns:vt="http://schemas.openxmlformats.org/officeDocument/2006/docPropsVTypes"/>
</file>