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rPr>
          <w:b/>
          <w:bCs/>
          <w:color w:val="1F3864"/>
          <w:sz w:val="48"/>
          <w:szCs w:val="48"/>
        </w:rPr>
        <w:t xml:space="preserve">AI Council</w:t>
      </w:r>
    </w:p>
    <w:p>
      <w:pPr>
        <w:spacing w:after="60"/>
        <w:jc w:val="center"/>
      </w:pPr>
      <w:r>
        <w:rPr>
          <w:b/>
          <w:bCs/>
          <w:color w:val="0F1F44"/>
          <w:sz w:val="28"/>
          <w:szCs w:val="28"/>
        </w:rPr>
        <w:t xml:space="preserve">Charter and Decision Log Template</w:t>
      </w:r>
    </w:p>
    <w:p>
      <w:pPr>
        <w:spacing w:after="40"/>
        <w:jc w:val="center"/>
      </w:pPr>
      <w:r>
        <w:rPr>
          <w:i/>
          <w:iCs/>
          <w:color w:val="5A5A66"/>
          <w:sz w:val="22"/>
          <w:szCs w:val="22"/>
        </w:rPr>
        <w:t xml:space="preserve">Fintech  •  Microsoft + AI Foundry  •  Africa</w:t>
      </w:r>
    </w:p>
    <w:p>
      <w:pPr>
        <w:spacing w:after="280"/>
        <w:jc w:val="center"/>
      </w:pPr>
      <w:r>
        <w:rPr>
          <w:color w:val="5A5A66"/>
          <w:sz w:val="20"/>
          <w:szCs w:val="20"/>
        </w:rPr>
        <w:t xml:space="preserve">Version 1.0  •  Owner: Head of AI &amp; Automation  •  Classification: Internal</w:t>
      </w:r>
    </w:p>
    <w:p>
      <w:pPr>
        <w:pBdr>
          <w:bottom w:val="single" w:color="D9D9D9" w:sz="8" w:space="1"/>
        </w:pBdr>
      </w:pPr>
    </w:p>
    <w:p>
      <w:pPr>
        <w:spacing w:after="60" w:before="200"/>
        <w:jc w:val="center"/>
      </w:pPr>
      <w:r>
        <w:rPr>
          <w:b/>
          <w:bCs/>
          <w:color w:val="1F3864"/>
          <w:sz w:val="28"/>
          <w:szCs w:val="28"/>
        </w:rPr>
        <w:t xml:space="preserve">PART A — CHARTER</w:t>
      </w:r>
    </w:p>
    <w:p>
      <w:pPr>
        <w:pBdr>
          <w:bottom w:val="single" w:color="D9D9D9" w:sz="8" w:space="1"/>
        </w:pBdr>
      </w:pPr>
    </w:p>
    <w:p>
      <w:pPr>
        <w:pStyle w:val="Heading1"/>
        <w:spacing w:after="160" w:before="360"/>
      </w:pPr>
      <w:r>
        <w:rPr>
          <w:b/>
          <w:bCs/>
          <w:color w:val="1F3864"/>
          <w:sz w:val="30"/>
          <w:szCs w:val="30"/>
        </w:rPr>
        <w:t xml:space="preserve">1. Purpose</w:t>
      </w:r>
    </w:p>
    <w:p>
      <w:pPr>
        <w:spacing w:after="120" w:line="300"/>
      </w:pPr>
      <w:r>
        <w:t xml:space="preserve">The AI Council is the cross-functional governance forum accountable for how artificial intelligence is built, procured, deployed, operated and retired across the organisation. It exists to make AI decisions safer, faster and more defensible than any single function could on its own.</w:t>
      </w:r>
    </w:p>
    <w:p>
      <w:pPr>
        <w:spacing w:after="120" w:line="300"/>
      </w:pPr>
      <w:r>
        <w:t xml:space="preserve">This Charter establishes the Council's terms of reference. It is the operating document of the Council and is binding on all members. It sits alongside the AI Governance Framework v1.0 (which sets the policy the Council enforces), the AI Acceptable Use Policy v1.0 (which binds individual users), the AI Control Register v1.0 (which inventories the controls the Council oversees), and the AI Monitoring &amp; Incident Playbook v1.0 (which the Council reviews after incidents).</w:t>
      </w:r>
    </w:p>
    <w:p>
      <w:pPr>
        <w:pStyle w:val="Heading1"/>
        <w:spacing w:after="160" w:before="360"/>
      </w:pPr>
      <w:r>
        <w:rPr>
          <w:b/>
          <w:bCs/>
          <w:color w:val="1F3864"/>
          <w:sz w:val="30"/>
          <w:szCs w:val="30"/>
        </w:rPr>
        <w:t xml:space="preserve">2. Authority</w:t>
      </w:r>
    </w:p>
    <w:p>
      <w:pPr>
        <w:spacing w:after="120" w:line="300"/>
      </w:pPr>
      <w:r>
        <w:t xml:space="preserve">The Council derives its authority from the Executive Committee (ExCo), which has delegated AI governance to the Head of AI &amp; Automation. The Council's decisions on matters within its scope are binding on the organisation, subject to the escalation paths in §11.</w:t>
      </w:r>
    </w:p>
    <w:p>
      <w:pPr>
        <w:pStyle w:val="Heading2"/>
        <w:spacing w:after="120" w:before="240"/>
      </w:pPr>
      <w:r>
        <w:rPr>
          <w:b/>
          <w:bCs/>
          <w:color w:val="0F1F44"/>
          <w:sz w:val="24"/>
          <w:szCs w:val="24"/>
        </w:rPr>
        <w:t xml:space="preserve">2.1 The Council may</w:t>
      </w:r>
    </w:p>
    <w:p>
      <w:pPr>
        <w:pStyle w:val="ListParagraph"/>
        <w:numPr>
          <w:ilvl w:val="0"/>
          <w:numId w:val="2"/>
        </w:numPr>
        <w:spacing w:after="80" w:line="280"/>
      </w:pPr>
      <w:r>
        <w:t xml:space="preserve">Approve, reject, defer or condition any AI use case classified Tier 2 (limited risk) under the AI Governance Framework §5.</w:t>
      </w:r>
    </w:p>
    <w:p>
      <w:pPr>
        <w:pStyle w:val="ListParagraph"/>
        <w:numPr>
          <w:ilvl w:val="0"/>
          <w:numId w:val="2"/>
        </w:numPr>
        <w:spacing w:after="80" w:line="280"/>
      </w:pPr>
      <w:r>
        <w:t xml:space="preserve">Recommend, with mandatory ExCo confirmation, any AI use case classified Tier 1 (high risk).</w:t>
      </w:r>
    </w:p>
    <w:p>
      <w:pPr>
        <w:pStyle w:val="ListParagraph"/>
        <w:numPr>
          <w:ilvl w:val="0"/>
          <w:numId w:val="2"/>
        </w:numPr>
        <w:spacing w:after="80" w:line="280"/>
      </w:pPr>
      <w:r>
        <w:t xml:space="preserve">Confirm Tier 3 (minimal risk) registrations approved on Chair-delegated authority.</w:t>
      </w:r>
    </w:p>
    <w:p>
      <w:pPr>
        <w:pStyle w:val="ListParagraph"/>
        <w:numPr>
          <w:ilvl w:val="0"/>
          <w:numId w:val="2"/>
        </w:numPr>
        <w:spacing w:after="80" w:line="280"/>
      </w:pPr>
      <w:r>
        <w:t xml:space="preserve">Add, change or remove items on the Approved Models / Approved Tools list (Framework §7).</w:t>
      </w:r>
    </w:p>
    <w:p>
      <w:pPr>
        <w:pStyle w:val="ListParagraph"/>
        <w:numPr>
          <w:ilvl w:val="0"/>
          <w:numId w:val="2"/>
        </w:numPr>
        <w:spacing w:after="80" w:line="280"/>
      </w:pPr>
      <w:r>
        <w:t xml:space="preserve">Commission red-team exercises, independent reviews and external assurance work.</w:t>
      </w:r>
    </w:p>
    <w:p>
      <w:pPr>
        <w:pStyle w:val="ListParagraph"/>
        <w:numPr>
          <w:ilvl w:val="0"/>
          <w:numId w:val="2"/>
        </w:numPr>
        <w:spacing w:after="80" w:line="280"/>
      </w:pPr>
      <w:r>
        <w:t xml:space="preserve">Require remediation of weak controls, with binding timelines.</w:t>
      </w:r>
    </w:p>
    <w:p>
      <w:pPr>
        <w:pStyle w:val="ListParagraph"/>
        <w:numPr>
          <w:ilvl w:val="0"/>
          <w:numId w:val="2"/>
        </w:numPr>
        <w:spacing w:after="80" w:line="280"/>
      </w:pPr>
      <w:r>
        <w:t xml:space="preserve">Suspend or pause an AI system on safety, regulatory or material incident grounds, with immediate effect.</w:t>
      </w:r>
    </w:p>
    <w:p>
      <w:pPr>
        <w:pStyle w:val="ListParagraph"/>
        <w:numPr>
          <w:ilvl w:val="0"/>
          <w:numId w:val="2"/>
        </w:numPr>
        <w:spacing w:after="80" w:line="280"/>
      </w:pPr>
      <w:r>
        <w:t xml:space="preserve">Update the Council's standing rules of procedure within this Charter, by majority vote.</w:t>
      </w:r>
    </w:p>
    <w:p>
      <w:pPr>
        <w:pStyle w:val="Heading2"/>
        <w:spacing w:after="120" w:before="240"/>
      </w:pPr>
      <w:r>
        <w:rPr>
          <w:b/>
          <w:bCs/>
          <w:color w:val="0F1F44"/>
          <w:sz w:val="24"/>
          <w:szCs w:val="24"/>
        </w:rPr>
        <w:t xml:space="preserve">2.2 The Council may not</w:t>
      </w:r>
    </w:p>
    <w:p>
      <w:pPr>
        <w:pStyle w:val="ListParagraph"/>
        <w:numPr>
          <w:ilvl w:val="0"/>
          <w:numId w:val="2"/>
        </w:numPr>
        <w:spacing w:after="80" w:line="280"/>
      </w:pPr>
      <w:r>
        <w:t xml:space="preserve">Approve any Tier 4 (prohibited) use case — these require Executive Committee approval with documented mitigations.</w:t>
      </w:r>
    </w:p>
    <w:p>
      <w:pPr>
        <w:pStyle w:val="ListParagraph"/>
        <w:numPr>
          <w:ilvl w:val="0"/>
          <w:numId w:val="2"/>
        </w:numPr>
        <w:spacing w:after="80" w:line="280"/>
      </w:pPr>
      <w:r>
        <w:t xml:space="preserve">Override decisions reserved to the Board, the Board Risk Committee, the Audit &amp; Risk Committee, the CRO under the Risk Management Framework, the DPO under data-protection law, or the GC on legal matters.</w:t>
      </w:r>
    </w:p>
    <w:p>
      <w:pPr>
        <w:pStyle w:val="ListParagraph"/>
        <w:numPr>
          <w:ilvl w:val="0"/>
          <w:numId w:val="2"/>
        </w:numPr>
        <w:spacing w:after="80" w:line="280"/>
      </w:pPr>
      <w:r>
        <w:t xml:space="preserve">Amend this Charter — amendments require ExCo approval (see §15).</w:t>
      </w:r>
    </w:p>
    <w:p>
      <w:pPr>
        <w:pStyle w:val="Heading1"/>
        <w:spacing w:after="160" w:before="360"/>
      </w:pPr>
      <w:r>
        <w:rPr>
          <w:b/>
          <w:bCs/>
          <w:color w:val="1F3864"/>
          <w:sz w:val="30"/>
          <w:szCs w:val="30"/>
        </w:rPr>
        <w:t xml:space="preserve">3. Scope</w:t>
      </w:r>
    </w:p>
    <w:p>
      <w:pPr>
        <w:pStyle w:val="ListParagraph"/>
        <w:numPr>
          <w:ilvl w:val="0"/>
          <w:numId w:val="2"/>
        </w:numPr>
        <w:spacing w:after="80" w:line="280"/>
      </w:pPr>
      <w:r>
        <w:t xml:space="preserve">All AI systems in use, in build, in pilot or under proposal across the organisation.</w:t>
      </w:r>
    </w:p>
    <w:p>
      <w:pPr>
        <w:pStyle w:val="ListParagraph"/>
        <w:numPr>
          <w:ilvl w:val="0"/>
          <w:numId w:val="2"/>
        </w:numPr>
        <w:spacing w:after="80" w:line="280"/>
      </w:pPr>
      <w:r>
        <w:t xml:space="preserve">Vendor SaaS where AI is a material feature touching the organisation's data or customers.</w:t>
      </w:r>
    </w:p>
    <w:p>
      <w:pPr>
        <w:pStyle w:val="ListParagraph"/>
        <w:numPr>
          <w:ilvl w:val="0"/>
          <w:numId w:val="2"/>
        </w:numPr>
        <w:spacing w:after="80" w:line="280"/>
      </w:pPr>
      <w:r>
        <w:t xml:space="preserve">AI-related policies, controls, training and assurance activity.</w:t>
      </w:r>
    </w:p>
    <w:p>
      <w:pPr>
        <w:pStyle w:val="ListParagraph"/>
        <w:numPr>
          <w:ilvl w:val="0"/>
          <w:numId w:val="2"/>
        </w:numPr>
        <w:spacing w:after="80" w:line="280"/>
      </w:pPr>
      <w:r>
        <w:t xml:space="preserve">AI incidents, near-misses and lessons learned.</w:t>
      </w:r>
    </w:p>
    <w:p>
      <w:pPr>
        <w:pStyle w:val="ListParagraph"/>
        <w:numPr>
          <w:ilvl w:val="0"/>
          <w:numId w:val="2"/>
        </w:numPr>
        <w:spacing w:after="80" w:line="280"/>
      </w:pPr>
      <w:r>
        <w:t xml:space="preserve">AI investment decisions within the budget envelope approved by ExCo and the Board.</w:t>
      </w:r>
    </w:p>
    <w:p>
      <w:pPr>
        <w:pStyle w:val="Heading1"/>
        <w:spacing w:after="160" w:before="360"/>
      </w:pPr>
      <w:r>
        <w:rPr>
          <w:b/>
          <w:bCs/>
          <w:color w:val="1F3864"/>
          <w:sz w:val="30"/>
          <w:szCs w:val="30"/>
        </w:rPr>
        <w:t xml:space="preserve">4. Membership</w:t>
      </w:r>
    </w:p>
    <w:p>
      <w:pPr>
        <w:pStyle w:val="Heading2"/>
        <w:spacing w:after="120" w:before="240"/>
      </w:pPr>
      <w:r>
        <w:rPr>
          <w:b/>
          <w:bCs/>
          <w:color w:val="0F1F44"/>
          <w:sz w:val="24"/>
          <w:szCs w:val="24"/>
        </w:rPr>
        <w:t xml:space="preserve">4.1 Permanent voting members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6%"/>
            <w:shd w:fill="1F3864" w:color="auto" w:val="clear"/>
            <w:tcMar>
              <w:top w:type="dxa" w:w="80"/>
              <w:left w:type="dxa" w:w="120"/>
              <w:bottom w:type="dxa" w:w="80"/>
              <w:right w:type="dxa" w:w="120"/>
            </w:tcMar>
          </w:tcPr>
          <w:p>
            <w:pPr>
              <w:spacing w:after="40"/>
              <w:jc w:val="left"/>
            </w:pPr>
            <w:r>
              <w:rPr>
                <w:b/>
                <w:bCs/>
                <w:color w:val="FFFFFF"/>
                <w:sz w:val="20"/>
                <w:szCs w:val="20"/>
              </w:rPr>
              <w:t xml:space="preserve">Role</w:t>
            </w:r>
          </w:p>
        </w:tc>
        <w:tc>
          <w:tcPr>
            <w:tcW w:type="pct" w:w="64%"/>
            <w:shd w:fill="1F3864" w:color="auto" w:val="clear"/>
            <w:tcMar>
              <w:top w:type="dxa" w:w="80"/>
              <w:left w:type="dxa" w:w="120"/>
              <w:bottom w:type="dxa" w:w="80"/>
              <w:right w:type="dxa" w:w="120"/>
            </w:tcMar>
          </w:tcPr>
          <w:p>
            <w:pPr>
              <w:spacing w:after="40"/>
              <w:jc w:val="left"/>
            </w:pPr>
            <w:r>
              <w:rPr>
                <w:b/>
                <w:bCs/>
                <w:color w:val="FFFFFF"/>
                <w:sz w:val="20"/>
                <w:szCs w:val="20"/>
              </w:rPr>
              <w:t xml:space="preserve">Why on the Council</w:t>
            </w:r>
          </w:p>
        </w:tc>
      </w:tr>
      <w:tr>
        <w:tc>
          <w:tcPr>
            <w:tcMar>
              <w:top w:type="dxa" w:w="80"/>
              <w:left w:type="dxa" w:w="120"/>
              <w:bottom w:type="dxa" w:w="80"/>
              <w:right w:type="dxa" w:w="120"/>
            </w:tcMar>
          </w:tcPr>
          <w:p>
            <w:pPr>
              <w:spacing w:after="40"/>
              <w:jc w:val="left"/>
            </w:pPr>
            <w:r>
              <w:rPr>
                <w:b/>
                <w:bCs/>
                <w:color w:val="1B1B1F"/>
                <w:sz w:val="20"/>
                <w:szCs w:val="20"/>
              </w:rPr>
              <w:t xml:space="preserve">Head of AI &amp; Automation (Chair)</w:t>
            </w:r>
          </w:p>
        </w:tc>
        <w:tc>
          <w:tcPr>
            <w:tcMar>
              <w:top w:type="dxa" w:w="80"/>
              <w:left w:type="dxa" w:w="120"/>
              <w:bottom w:type="dxa" w:w="80"/>
              <w:right w:type="dxa" w:w="120"/>
            </w:tcMar>
          </w:tcPr>
          <w:p>
            <w:pPr>
              <w:spacing w:after="40"/>
              <w:jc w:val="left"/>
            </w:pPr>
            <w:r>
              <w:rPr>
                <w:b w:val="false"/>
                <w:bCs w:val="false"/>
                <w:color w:val="1B1B1F"/>
                <w:sz w:val="20"/>
                <w:szCs w:val="20"/>
              </w:rPr>
              <w:t xml:space="preserve">Accountable for the AI portfolio. Brings the proposals; chairs the meetings; owns this Charter.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CIO or CTO delegate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Owns the technology platform, integration choices and engineering capacity.</w:t>
            </w:r>
          </w:p>
        </w:tc>
      </w:tr>
      <w:tr>
        <w:tc>
          <w:tcPr>
            <w:tcMar>
              <w:top w:type="dxa" w:w="80"/>
              <w:left w:type="dxa" w:w="120"/>
              <w:bottom w:type="dxa" w:w="80"/>
              <w:right w:type="dxa" w:w="120"/>
            </w:tcMar>
          </w:tcPr>
          <w:p>
            <w:pPr>
              <w:spacing w:after="40"/>
              <w:jc w:val="left"/>
            </w:pPr>
            <w:r>
              <w:rPr>
                <w:b/>
                <w:bCs/>
                <w:color w:val="1B1B1F"/>
                <w:sz w:val="20"/>
                <w:szCs w:val="20"/>
              </w:rPr>
              <w:t xml:space="preserve">CISO or nominated deputy</w:t>
            </w:r>
          </w:p>
        </w:tc>
        <w:tc>
          <w:tcPr>
            <w:tcMar>
              <w:top w:type="dxa" w:w="80"/>
              <w:left w:type="dxa" w:w="120"/>
              <w:bottom w:type="dxa" w:w="80"/>
              <w:right w:type="dxa" w:w="120"/>
            </w:tcMar>
          </w:tcPr>
          <w:p>
            <w:pPr>
              <w:spacing w:after="40"/>
              <w:jc w:val="left"/>
            </w:pPr>
            <w:r>
              <w:rPr>
                <w:b w:val="false"/>
                <w:bCs w:val="false"/>
                <w:color w:val="1B1B1F"/>
                <w:sz w:val="20"/>
                <w:szCs w:val="20"/>
              </w:rPr>
              <w:t xml:space="preserve">Accountable for information security, identity, monitoring and incident response.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CRO or Head of Operational Risk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Owns the enterprise risk view; ensures AI risk integrates with operational and regulatory risk.</w:t>
            </w:r>
          </w:p>
        </w:tc>
      </w:tr>
      <w:tr>
        <w:tc>
          <w:tcPr>
            <w:tcMar>
              <w:top w:type="dxa" w:w="80"/>
              <w:left w:type="dxa" w:w="120"/>
              <w:bottom w:type="dxa" w:w="80"/>
              <w:right w:type="dxa" w:w="120"/>
            </w:tcMar>
          </w:tcPr>
          <w:p>
            <w:pPr>
              <w:spacing w:after="40"/>
              <w:jc w:val="left"/>
            </w:pPr>
            <w:r>
              <w:rPr>
                <w:b/>
                <w:bCs/>
                <w:color w:val="1B1B1F"/>
                <w:sz w:val="20"/>
                <w:szCs w:val="20"/>
              </w:rPr>
              <w:t xml:space="preserve">Data Protection Officer (DPO)</w:t>
            </w:r>
          </w:p>
        </w:tc>
        <w:tc>
          <w:tcPr>
            <w:tcMar>
              <w:top w:type="dxa" w:w="80"/>
              <w:left w:type="dxa" w:w="120"/>
              <w:bottom w:type="dxa" w:w="80"/>
              <w:right w:type="dxa" w:w="120"/>
            </w:tcMar>
          </w:tcPr>
          <w:p>
            <w:pPr>
              <w:spacing w:after="40"/>
              <w:jc w:val="left"/>
            </w:pPr>
            <w:r>
              <w:rPr>
                <w:b w:val="false"/>
                <w:bCs w:val="false"/>
                <w:color w:val="1B1B1F"/>
                <w:sz w:val="20"/>
                <w:szCs w:val="20"/>
              </w:rPr>
              <w:t xml:space="preserve">Independent statutory role under POPIA, NDPA, KDPA. Privacy and data-subject rights.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General Counsel or Legal Lead</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Regulatory interpretation, contractual posture, dispute exposure.</w:t>
            </w:r>
          </w:p>
        </w:tc>
      </w:tr>
      <w:tr>
        <w:tc>
          <w:tcPr>
            <w:tcMar>
              <w:top w:type="dxa" w:w="80"/>
              <w:left w:type="dxa" w:w="120"/>
              <w:bottom w:type="dxa" w:w="80"/>
              <w:right w:type="dxa" w:w="120"/>
            </w:tcMar>
          </w:tcPr>
          <w:p>
            <w:pPr>
              <w:spacing w:after="40"/>
              <w:jc w:val="left"/>
            </w:pPr>
            <w:r>
              <w:rPr>
                <w:b/>
                <w:bCs/>
                <w:color w:val="1B1B1F"/>
                <w:sz w:val="20"/>
                <w:szCs w:val="20"/>
              </w:rPr>
              <w:t xml:space="preserve">Head of Engineering</w:t>
            </w:r>
          </w:p>
        </w:tc>
        <w:tc>
          <w:tcPr>
            <w:tcMar>
              <w:top w:type="dxa" w:w="80"/>
              <w:left w:type="dxa" w:w="120"/>
              <w:bottom w:type="dxa" w:w="80"/>
              <w:right w:type="dxa" w:w="120"/>
            </w:tcMar>
          </w:tcPr>
          <w:p>
            <w:pPr>
              <w:spacing w:after="40"/>
              <w:jc w:val="left"/>
            </w:pPr>
            <w:r>
              <w:rPr>
                <w:b w:val="false"/>
                <w:bCs w:val="false"/>
                <w:color w:val="1B1B1F"/>
                <w:sz w:val="20"/>
                <w:szCs w:val="20"/>
              </w:rPr>
              <w:t xml:space="preserve">Software-engineering implementation; developer tooling; build vs. buy choices.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Head of Data / Analytics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Data ownership, classification, lineage, model-risk-relevant data quality.</w:t>
            </w:r>
          </w:p>
        </w:tc>
      </w:tr>
    </w:tbl>
    <w:p>
      <w:pPr>
        <w:pStyle w:val="Heading2"/>
        <w:spacing w:after="120" w:before="240"/>
      </w:pPr>
      <w:r>
        <w:rPr>
          <w:b/>
          <w:bCs/>
          <w:color w:val="0F1F44"/>
          <w:sz w:val="24"/>
          <w:szCs w:val="24"/>
        </w:rPr>
        <w:t xml:space="preserve">4.2 Rotating voting members</w:t>
      </w:r>
    </w:p>
    <w:p>
      <w:pPr>
        <w:pStyle w:val="ListParagraph"/>
        <w:numPr>
          <w:ilvl w:val="0"/>
          <w:numId w:val="2"/>
        </w:numPr>
        <w:spacing w:after="80" w:line="280"/>
      </w:pPr>
      <w:r>
        <w:t xml:space="preserve">One business-unit leader per use case under review (e.g. Head of Retail, Head of Operations, Head of Customer Experience).</w:t>
      </w:r>
    </w:p>
    <w:p>
      <w:pPr>
        <w:pStyle w:val="ListParagraph"/>
        <w:numPr>
          <w:ilvl w:val="0"/>
          <w:numId w:val="2"/>
        </w:numPr>
        <w:spacing w:after="80" w:line="280"/>
      </w:pPr>
      <w:r>
        <w:t xml:space="preserve">Rotation is for the duration of the use case being considered; rotating members vote on that use case but do not count toward general quorum.</w:t>
      </w:r>
    </w:p>
    <w:p>
      <w:pPr>
        <w:pStyle w:val="Heading2"/>
        <w:spacing w:after="120" w:before="240"/>
      </w:pPr>
      <w:r>
        <w:rPr>
          <w:b/>
          <w:bCs/>
          <w:color w:val="0F1F44"/>
          <w:sz w:val="24"/>
          <w:szCs w:val="24"/>
        </w:rPr>
        <w:t xml:space="preserve">4.3 Standing non-voting attendees</w:t>
      </w:r>
    </w:p>
    <w:p>
      <w:pPr>
        <w:pStyle w:val="ListParagraph"/>
        <w:numPr>
          <w:ilvl w:val="0"/>
          <w:numId w:val="2"/>
        </w:numPr>
        <w:spacing w:after="80" w:line="280"/>
      </w:pPr>
      <w:r>
        <w:t xml:space="preserve">Council Secretary (AI &amp; Automation Programme Manager) — runs minutes, action log and decision log.</w:t>
      </w:r>
    </w:p>
    <w:p>
      <w:pPr>
        <w:pStyle w:val="ListParagraph"/>
        <w:numPr>
          <w:ilvl w:val="0"/>
          <w:numId w:val="2"/>
        </w:numPr>
        <w:spacing w:after="80" w:line="280"/>
      </w:pPr>
      <w:r>
        <w:t xml:space="preserve">Internal Audit observer (rotation by quarter) — silent attendee for assurance line-of-sight.</w:t>
      </w:r>
    </w:p>
    <w:p>
      <w:pPr>
        <w:pStyle w:val="ListParagraph"/>
        <w:numPr>
          <w:ilvl w:val="0"/>
          <w:numId w:val="2"/>
        </w:numPr>
        <w:spacing w:after="80" w:line="280"/>
      </w:pPr>
      <w:r>
        <w:t xml:space="preserve">Microsoft Customer Success representative — by invitation, on platform / tooling agenda items.</w:t>
      </w:r>
    </w:p>
    <w:p>
      <w:pPr>
        <w:pStyle w:val="Heading2"/>
        <w:spacing w:after="120" w:before="240"/>
      </w:pPr>
      <w:r>
        <w:rPr>
          <w:b/>
          <w:bCs/>
          <w:color w:val="0F1F44"/>
          <w:sz w:val="24"/>
          <w:szCs w:val="24"/>
        </w:rPr>
        <w:t xml:space="preserve">4.4 Member responsibilities</w:t>
      </w:r>
    </w:p>
    <w:p>
      <w:pPr>
        <w:pStyle w:val="ListParagraph"/>
        <w:numPr>
          <w:ilvl w:val="0"/>
          <w:numId w:val="2"/>
        </w:numPr>
        <w:spacing w:after="80" w:line="280"/>
      </w:pPr>
      <w:r>
        <w:t xml:space="preserve">Read the pre-read pack at least 48 hours before the meeting.</w:t>
      </w:r>
    </w:p>
    <w:p>
      <w:pPr>
        <w:pStyle w:val="ListParagraph"/>
        <w:numPr>
          <w:ilvl w:val="0"/>
          <w:numId w:val="2"/>
        </w:numPr>
        <w:spacing w:after="80" w:line="280"/>
      </w:pPr>
      <w:r>
        <w:t xml:space="preserve">Attend in person or via Teams; no proxy voting except for a permanent named deputy listed in §4.5.</w:t>
      </w:r>
    </w:p>
    <w:p>
      <w:pPr>
        <w:pStyle w:val="ListParagraph"/>
        <w:numPr>
          <w:ilvl w:val="0"/>
          <w:numId w:val="2"/>
        </w:numPr>
        <w:spacing w:after="80" w:line="280"/>
      </w:pPr>
      <w:r>
        <w:t xml:space="preserve">Declare conflicts of interest at the start of any item where they exist (see §10).</w:t>
      </w:r>
    </w:p>
    <w:p>
      <w:pPr>
        <w:pStyle w:val="ListParagraph"/>
        <w:numPr>
          <w:ilvl w:val="0"/>
          <w:numId w:val="2"/>
        </w:numPr>
        <w:spacing w:after="80" w:line="280"/>
      </w:pPr>
      <w:r>
        <w:t xml:space="preserve">Make decisions in the interests of the organisation as a whole, not the function they represent.</w:t>
      </w:r>
    </w:p>
    <w:p>
      <w:pPr>
        <w:pStyle w:val="ListParagraph"/>
        <w:numPr>
          <w:ilvl w:val="0"/>
          <w:numId w:val="2"/>
        </w:numPr>
        <w:spacing w:after="80" w:line="280"/>
      </w:pPr>
      <w:r>
        <w:t xml:space="preserve">Treat Council pre-reads, deliberations and unpublished decisions as confidential.</w:t>
      </w:r>
    </w:p>
    <w:p>
      <w:pPr>
        <w:pStyle w:val="ListParagraph"/>
        <w:numPr>
          <w:ilvl w:val="0"/>
          <w:numId w:val="2"/>
        </w:numPr>
        <w:spacing w:after="80" w:line="280"/>
      </w:pPr>
      <w:r>
        <w:t xml:space="preserve">Champion approved decisions back to their function and act on actions assigned.</w:t>
      </w:r>
    </w:p>
    <w:p>
      <w:pPr>
        <w:pStyle w:val="Heading2"/>
        <w:spacing w:after="120" w:before="240"/>
      </w:pPr>
      <w:r>
        <w:rPr>
          <w:b/>
          <w:bCs/>
          <w:color w:val="0F1F44"/>
          <w:sz w:val="24"/>
          <w:szCs w:val="24"/>
        </w:rPr>
        <w:t xml:space="preserve">4.5 Permanent deputies</w:t>
      </w:r>
    </w:p>
    <w:p>
      <w:pPr>
        <w:spacing w:after="120" w:line="300"/>
      </w:pPr>
      <w:r>
        <w:t xml:space="preserve">Each permanent voting member nominates one named deputy in writing to the Council Secretary. The deputy may attend and vote when the principal cannot. A deputy without prior nomination has observer status only.</w:t>
      </w:r>
    </w:p>
    <w:p>
      <w:pPr>
        <w:pStyle w:val="Heading1"/>
        <w:spacing w:after="160" w:before="360"/>
      </w:pPr>
      <w:r>
        <w:rPr>
          <w:b/>
          <w:bCs/>
          <w:color w:val="1F3864"/>
          <w:sz w:val="30"/>
          <w:szCs w:val="30"/>
        </w:rPr>
        <w:t xml:space="preserve">5. Quorum and Voting</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Item</w:t>
            </w:r>
          </w:p>
        </w:tc>
        <w:tc>
          <w:tcPr>
            <w:tcW w:type="pct" w:w="70%"/>
            <w:shd w:fill="1F3864" w:color="auto" w:val="clear"/>
            <w:tcMar>
              <w:top w:type="dxa" w:w="80"/>
              <w:left w:type="dxa" w:w="120"/>
              <w:bottom w:type="dxa" w:w="80"/>
              <w:right w:type="dxa" w:w="120"/>
            </w:tcMar>
          </w:tcPr>
          <w:p>
            <w:pPr>
              <w:spacing w:after="40"/>
              <w:jc w:val="left"/>
            </w:pPr>
            <w:r>
              <w:rPr>
                <w:b/>
                <w:bCs/>
                <w:color w:val="FFFFFF"/>
                <w:sz w:val="20"/>
                <w:szCs w:val="20"/>
              </w:rPr>
              <w:t xml:space="preserve">Rule</w:t>
            </w:r>
          </w:p>
        </w:tc>
      </w:tr>
      <w:tr>
        <w:tc>
          <w:tcPr>
            <w:tcMar>
              <w:top w:type="dxa" w:w="80"/>
              <w:left w:type="dxa" w:w="120"/>
              <w:bottom w:type="dxa" w:w="80"/>
              <w:right w:type="dxa" w:w="120"/>
            </w:tcMar>
          </w:tcPr>
          <w:p>
            <w:pPr>
              <w:spacing w:after="40"/>
              <w:jc w:val="left"/>
            </w:pPr>
            <w:r>
              <w:rPr>
                <w:b/>
                <w:bCs/>
                <w:color w:val="1B1B1F"/>
                <w:sz w:val="20"/>
                <w:szCs w:val="20"/>
              </w:rPr>
              <w:t xml:space="preserve">Quorum</w:t>
            </w:r>
          </w:p>
        </w:tc>
        <w:tc>
          <w:tcPr>
            <w:tcMar>
              <w:top w:type="dxa" w:w="80"/>
              <w:left w:type="dxa" w:w="120"/>
              <w:bottom w:type="dxa" w:w="80"/>
              <w:right w:type="dxa" w:w="120"/>
            </w:tcMar>
          </w:tcPr>
          <w:p>
            <w:pPr>
              <w:spacing w:after="40"/>
              <w:jc w:val="left"/>
            </w:pPr>
            <w:r>
              <w:rPr>
                <w:b w:val="false"/>
                <w:bCs w:val="false"/>
                <w:color w:val="1B1B1F"/>
                <w:sz w:val="20"/>
                <w:szCs w:val="20"/>
              </w:rPr>
              <w:t xml:space="preserve">Five permanent voting members (or named deputies), including either the CISO or DPO, and either the CRO or risk delegate. Without quorum the Council may convene but may not approve.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Voting threshold — Tier 1 recommendation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Unanimous vote of voting members present (the recommendation then goes to ExCo for approval).</w:t>
            </w:r>
          </w:p>
        </w:tc>
      </w:tr>
      <w:tr>
        <w:tc>
          <w:tcPr>
            <w:tcMar>
              <w:top w:type="dxa" w:w="80"/>
              <w:left w:type="dxa" w:w="120"/>
              <w:bottom w:type="dxa" w:w="80"/>
              <w:right w:type="dxa" w:w="120"/>
            </w:tcMar>
          </w:tcPr>
          <w:p>
            <w:pPr>
              <w:spacing w:after="40"/>
              <w:jc w:val="left"/>
            </w:pPr>
            <w:r>
              <w:rPr>
                <w:b/>
                <w:bCs/>
                <w:color w:val="1B1B1F"/>
                <w:sz w:val="20"/>
                <w:szCs w:val="20"/>
              </w:rPr>
              <w:t xml:space="preserve">Voting threshold — Tier 2 approval</w:t>
            </w:r>
          </w:p>
        </w:tc>
        <w:tc>
          <w:tcPr>
            <w:tcMar>
              <w:top w:type="dxa" w:w="80"/>
              <w:left w:type="dxa" w:w="120"/>
              <w:bottom w:type="dxa" w:w="80"/>
              <w:right w:type="dxa" w:w="120"/>
            </w:tcMar>
          </w:tcPr>
          <w:p>
            <w:pPr>
              <w:spacing w:after="40"/>
              <w:jc w:val="left"/>
            </w:pPr>
            <w:r>
              <w:rPr>
                <w:b w:val="false"/>
                <w:bCs w:val="false"/>
                <w:color w:val="1B1B1F"/>
                <w:sz w:val="20"/>
                <w:szCs w:val="20"/>
              </w:rPr>
              <w:t xml:space="preserve">Simple majority of voting members present. Chair has casting vote in case of a tie.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Voting threshold — Tier 3 confirmation</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Pre-approved subject to registration and meeting baseline controls; Council confirms by show of no objection.</w:t>
            </w:r>
          </w:p>
        </w:tc>
      </w:tr>
      <w:tr>
        <w:tc>
          <w:tcPr>
            <w:tcMar>
              <w:top w:type="dxa" w:w="80"/>
              <w:left w:type="dxa" w:w="120"/>
              <w:bottom w:type="dxa" w:w="80"/>
              <w:right w:type="dxa" w:w="120"/>
            </w:tcMar>
          </w:tcPr>
          <w:p>
            <w:pPr>
              <w:spacing w:after="40"/>
              <w:jc w:val="left"/>
            </w:pPr>
            <w:r>
              <w:rPr>
                <w:b/>
                <w:bCs/>
                <w:color w:val="1B1B1F"/>
                <w:sz w:val="20"/>
                <w:szCs w:val="20"/>
              </w:rPr>
              <w:t xml:space="preserve">Voting threshold — Tier 4</w:t>
            </w:r>
          </w:p>
        </w:tc>
        <w:tc>
          <w:tcPr>
            <w:tcMar>
              <w:top w:type="dxa" w:w="80"/>
              <w:left w:type="dxa" w:w="120"/>
              <w:bottom w:type="dxa" w:w="80"/>
              <w:right w:type="dxa" w:w="120"/>
            </w:tcMar>
          </w:tcPr>
          <w:p>
            <w:pPr>
              <w:spacing w:after="40"/>
              <w:jc w:val="left"/>
            </w:pPr>
            <w:r>
              <w:rPr>
                <w:b w:val="false"/>
                <w:bCs w:val="false"/>
                <w:color w:val="1B1B1F"/>
                <w:sz w:val="20"/>
                <w:szCs w:val="20"/>
              </w:rPr>
              <w:t xml:space="preserve">Council cannot approve. Any exception requires ExCo approval with documented mitigations.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Out-of-cycle decisions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Chair may convene an emergency session for material incidents (see §6.2). Email vote permitted on Tier 3 confirmations only; recorded in the next minutes.</w:t>
            </w:r>
          </w:p>
        </w:tc>
      </w:tr>
      <w:tr>
        <w:tc>
          <w:tcPr>
            <w:tcMar>
              <w:top w:type="dxa" w:w="80"/>
              <w:left w:type="dxa" w:w="120"/>
              <w:bottom w:type="dxa" w:w="80"/>
              <w:right w:type="dxa" w:w="120"/>
            </w:tcMar>
          </w:tcPr>
          <w:p>
            <w:pPr>
              <w:spacing w:after="40"/>
              <w:jc w:val="left"/>
            </w:pPr>
            <w:r>
              <w:rPr>
                <w:b/>
                <w:bCs/>
                <w:color w:val="1B1B1F"/>
                <w:sz w:val="20"/>
                <w:szCs w:val="20"/>
              </w:rPr>
              <w:t xml:space="preserve">Conflict abstention</w:t>
            </w:r>
          </w:p>
        </w:tc>
        <w:tc>
          <w:tcPr>
            <w:tcMar>
              <w:top w:type="dxa" w:w="80"/>
              <w:left w:type="dxa" w:w="120"/>
              <w:bottom w:type="dxa" w:w="80"/>
              <w:right w:type="dxa" w:w="120"/>
            </w:tcMar>
          </w:tcPr>
          <w:p>
            <w:pPr>
              <w:spacing w:after="40"/>
              <w:jc w:val="left"/>
            </w:pPr>
            <w:r>
              <w:rPr>
                <w:b w:val="false"/>
                <w:bCs w:val="false"/>
                <w:color w:val="1B1B1F"/>
                <w:sz w:val="20"/>
                <w:szCs w:val="20"/>
              </w:rPr>
              <w:t xml:space="preserve">Conflicted members do not count toward quorum on the affected item and do not vote (see §10).</w:t>
            </w:r>
          </w:p>
        </w:tc>
      </w:tr>
    </w:tbl>
    <w:p>
      <w:pPr>
        <w:pStyle w:val="Heading1"/>
        <w:spacing w:after="160" w:before="360"/>
      </w:pPr>
      <w:r>
        <w:rPr>
          <w:b/>
          <w:bCs/>
          <w:color w:val="1F3864"/>
          <w:sz w:val="30"/>
          <w:szCs w:val="30"/>
        </w:rPr>
        <w:t xml:space="preserve">6. Cadence</w:t>
      </w:r>
    </w:p>
    <w:p>
      <w:pPr>
        <w:pStyle w:val="Heading2"/>
        <w:spacing w:after="120" w:before="240"/>
      </w:pPr>
      <w:r>
        <w:rPr>
          <w:b/>
          <w:bCs/>
          <w:color w:val="0F1F44"/>
          <w:sz w:val="24"/>
          <w:szCs w:val="24"/>
        </w:rPr>
        <w:t xml:space="preserve">6.1 Standing meetings</w:t>
      </w:r>
    </w:p>
    <w:p>
      <w:pPr>
        <w:pStyle w:val="ListParagraph"/>
        <w:numPr>
          <w:ilvl w:val="0"/>
          <w:numId w:val="2"/>
        </w:numPr>
        <w:spacing w:after="80" w:line="280"/>
      </w:pPr>
      <w:r>
        <w:t xml:space="preserve">Monthly standing meeting — 90 minutes — second Tuesday of each month, 10:00 local time.</w:t>
      </w:r>
    </w:p>
    <w:p>
      <w:pPr>
        <w:pStyle w:val="ListParagraph"/>
        <w:numPr>
          <w:ilvl w:val="0"/>
          <w:numId w:val="2"/>
        </w:numPr>
        <w:spacing w:after="80" w:line="280"/>
      </w:pPr>
      <w:r>
        <w:t xml:space="preserve">Standing agenda: approvals, portfolio review, incident log, regulatory horizon scan, control health, policy change requests, AOB.</w:t>
      </w:r>
    </w:p>
    <w:p>
      <w:pPr>
        <w:pStyle w:val="ListParagraph"/>
        <w:numPr>
          <w:ilvl w:val="0"/>
          <w:numId w:val="2"/>
        </w:numPr>
        <w:spacing w:after="80" w:line="280"/>
      </w:pPr>
      <w:r>
        <w:t xml:space="preserve">Quarterly extended session — 120 minutes — replaces a monthly when convened; deeper review of strategy and external posture.</w:t>
      </w:r>
    </w:p>
    <w:p>
      <w:pPr>
        <w:pStyle w:val="Heading2"/>
        <w:spacing w:after="120" w:before="240"/>
      </w:pPr>
      <w:r>
        <w:rPr>
          <w:b/>
          <w:bCs/>
          <w:color w:val="0F1F44"/>
          <w:sz w:val="24"/>
          <w:szCs w:val="24"/>
        </w:rPr>
        <w:t xml:space="preserve">6.2 Emergency sessions</w:t>
      </w:r>
    </w:p>
    <w:p>
      <w:pPr>
        <w:pStyle w:val="ListParagraph"/>
        <w:numPr>
          <w:ilvl w:val="0"/>
          <w:numId w:val="2"/>
        </w:numPr>
        <w:spacing w:after="80" w:line="280"/>
      </w:pPr>
      <w:r>
        <w:t xml:space="preserve">Convened by Chair within 48 hours of any P1 / P2 AI incident or any Tier 4 detection.</w:t>
      </w:r>
    </w:p>
    <w:p>
      <w:pPr>
        <w:pStyle w:val="ListParagraph"/>
        <w:numPr>
          <w:ilvl w:val="0"/>
          <w:numId w:val="2"/>
        </w:numPr>
        <w:spacing w:after="80" w:line="280"/>
      </w:pPr>
      <w:r>
        <w:t xml:space="preserve">Convened on request of the CISO, CRO or DPO with stated cause.</w:t>
      </w:r>
    </w:p>
    <w:p>
      <w:pPr>
        <w:pStyle w:val="ListParagraph"/>
        <w:numPr>
          <w:ilvl w:val="0"/>
          <w:numId w:val="2"/>
        </w:numPr>
        <w:spacing w:after="80" w:line="280"/>
      </w:pPr>
      <w:r>
        <w:t xml:space="preserve">Emergency-session quorum is reduced to four permanent members, with at least one of CISO / DPO and at least one of CRO / risk delegate.</w:t>
      </w:r>
    </w:p>
    <w:p>
      <w:pPr>
        <w:pStyle w:val="Heading2"/>
        <w:spacing w:after="120" w:before="240"/>
      </w:pPr>
      <w:r>
        <w:rPr>
          <w:b/>
          <w:bCs/>
          <w:color w:val="0F1F44"/>
          <w:sz w:val="24"/>
          <w:szCs w:val="24"/>
        </w:rPr>
        <w:t xml:space="preserve">6.3 Engagement with other forums</w:t>
      </w:r>
    </w:p>
    <w:p>
      <w:pPr>
        <w:pStyle w:val="ListParagraph"/>
        <w:numPr>
          <w:ilvl w:val="0"/>
          <w:numId w:val="2"/>
        </w:numPr>
        <w:spacing w:after="80" w:line="280"/>
      </w:pPr>
      <w:r>
        <w:t xml:space="preserve">Quarterly Board Risk Committee deep-review — written pack tabled by Chair and CISO.</w:t>
      </w:r>
    </w:p>
    <w:p>
      <w:pPr>
        <w:pStyle w:val="ListParagraph"/>
        <w:numPr>
          <w:ilvl w:val="0"/>
          <w:numId w:val="2"/>
        </w:numPr>
        <w:spacing w:after="80" w:line="280"/>
      </w:pPr>
      <w:r>
        <w:t xml:space="preserve">Monthly summary to ExCo — written; standing agenda slot for material items.</w:t>
      </w:r>
    </w:p>
    <w:p>
      <w:pPr>
        <w:pStyle w:val="ListParagraph"/>
        <w:numPr>
          <w:ilvl w:val="0"/>
          <w:numId w:val="2"/>
        </w:numPr>
        <w:spacing w:after="80" w:line="280"/>
      </w:pPr>
      <w:r>
        <w:t xml:space="preserve">Bi-annual review session with Internal Audit — full Council; covers control posture and audit findings.</w:t>
      </w:r>
    </w:p>
    <w:p>
      <w:pPr>
        <w:pStyle w:val="Heading1"/>
        <w:spacing w:after="160" w:before="360"/>
      </w:pPr>
      <w:r>
        <w:rPr>
          <w:b/>
          <w:bCs/>
          <w:color w:val="1F3864"/>
          <w:sz w:val="30"/>
          <w:szCs w:val="30"/>
        </w:rPr>
        <w:t xml:space="preserve">7. Decision Rights Matrix</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gridCol w:w="100"/>
      </w:tblGrid>
      <w:tr>
        <w:trPr>
          <w:tblHeader/>
        </w:trPr>
        <w:tc>
          <w:tcPr>
            <w:tcW w:type="pct" w:w="38%"/>
            <w:shd w:fill="1F3864" w:color="auto" w:val="clear"/>
            <w:tcMar>
              <w:top w:type="dxa" w:w="80"/>
              <w:left w:type="dxa" w:w="120"/>
              <w:bottom w:type="dxa" w:w="80"/>
              <w:right w:type="dxa" w:w="120"/>
            </w:tcMar>
          </w:tcPr>
          <w:p>
            <w:pPr>
              <w:spacing w:after="40"/>
              <w:jc w:val="left"/>
            </w:pPr>
            <w:r>
              <w:rPr>
                <w:b/>
                <w:bCs/>
                <w:color w:val="FFFFFF"/>
                <w:sz w:val="20"/>
                <w:szCs w:val="20"/>
              </w:rPr>
              <w:t xml:space="preserve">Decision</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AI Council</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Chair (delegated)</w:t>
            </w:r>
          </w:p>
        </w:tc>
        <w:tc>
          <w:tcPr>
            <w:tcW w:type="pct" w:w="14%"/>
            <w:shd w:fill="1F3864" w:color="auto" w:val="clear"/>
            <w:tcMar>
              <w:top w:type="dxa" w:w="80"/>
              <w:left w:type="dxa" w:w="120"/>
              <w:bottom w:type="dxa" w:w="80"/>
              <w:right w:type="dxa" w:w="120"/>
            </w:tcMar>
          </w:tcPr>
          <w:p>
            <w:pPr>
              <w:spacing w:after="40"/>
              <w:jc w:val="center"/>
            </w:pPr>
            <w:r>
              <w:rPr>
                <w:b/>
                <w:bCs/>
                <w:color w:val="FFFFFF"/>
                <w:sz w:val="20"/>
                <w:szCs w:val="20"/>
              </w:rPr>
              <w:t xml:space="preserve">ExCo</w:t>
            </w:r>
          </w:p>
        </w:tc>
        <w:tc>
          <w:tcPr>
            <w:tcW w:type="pct" w:w="16%"/>
            <w:shd w:fill="1F3864" w:color="auto" w:val="clear"/>
            <w:tcMar>
              <w:top w:type="dxa" w:w="80"/>
              <w:left w:type="dxa" w:w="120"/>
              <w:bottom w:type="dxa" w:w="80"/>
              <w:right w:type="dxa" w:w="120"/>
            </w:tcMar>
          </w:tcPr>
          <w:p>
            <w:pPr>
              <w:spacing w:after="40"/>
              <w:jc w:val="center"/>
            </w:pPr>
            <w:r>
              <w:rPr>
                <w:b/>
                <w:bCs/>
                <w:color w:val="FFFFFF"/>
                <w:sz w:val="20"/>
                <w:szCs w:val="20"/>
              </w:rPr>
              <w:t xml:space="preserve">Board / BRC</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Approve Tier 3 (minimal risk) registration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Confirm</w:t>
            </w:r>
          </w:p>
        </w:tc>
        <w:tc>
          <w:tcPr>
            <w:tcMar>
              <w:top w:type="dxa" w:w="80"/>
              <w:left w:type="dxa" w:w="120"/>
              <w:bottom w:type="dxa" w:w="80"/>
              <w:right w:type="dxa" w:w="120"/>
            </w:tcMar>
          </w:tcPr>
          <w:p>
            <w:pPr>
              <w:spacing w:after="40"/>
              <w:jc w:val="center"/>
            </w:pPr>
            <w:r>
              <w:rPr>
                <w:b/>
                <w:bCs/>
                <w:color w:val="2F7D4F"/>
                <w:sz w:val="20"/>
                <w:szCs w:val="20"/>
              </w:rPr>
              <w:t xml:space="preserve">Approve</w:t>
            </w:r>
          </w:p>
        </w:tc>
        <w:tc>
          <w:tcPr>
            <w:tcMar>
              <w:top w:type="dxa" w:w="80"/>
              <w:left w:type="dxa" w:w="120"/>
              <w:bottom w:type="dxa" w:w="80"/>
              <w:right w:type="dxa" w:w="120"/>
            </w:tcMar>
          </w:tcPr>
          <w:p>
            <w:pPr>
              <w:spacing w:after="40"/>
              <w:jc w:val="center"/>
            </w:pPr>
            <w:r>
              <w:rPr>
                <w:b w:val="false"/>
                <w:bCs w:val="false"/>
                <w:color w:val="1B1B1F"/>
                <w:sz w:val="20"/>
                <w:szCs w:val="20"/>
              </w:rPr>
              <w:t xml:space="preserve">Inform</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 Tier 2 (limited risk) use case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Inform</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Approve Tier 1 (high risk) use case</w:t>
            </w:r>
          </w:p>
        </w:tc>
        <w:tc>
          <w:tcPr>
            <w:tcMar>
              <w:top w:type="dxa" w:w="80"/>
              <w:left w:type="dxa" w:w="120"/>
              <w:bottom w:type="dxa" w:w="80"/>
              <w:right w:type="dxa" w:w="120"/>
            </w:tcMar>
          </w:tcPr>
          <w:p>
            <w:pPr>
              <w:spacing w:after="40"/>
              <w:jc w:val="center"/>
            </w:pPr>
            <w:r>
              <w:rPr>
                <w:b w:val="false"/>
                <w:bCs w:val="false"/>
                <w:color w:val="1B1B1F"/>
                <w:sz w:val="20"/>
                <w:szCs w:val="20"/>
              </w:rPr>
              <w:t xml:space="preserve">Recommend (unanimous)</w:t>
            </w:r>
          </w:p>
        </w:tc>
        <w:tc>
          <w:tcP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tcMar>
              <w:top w:type="dxa" w:w="80"/>
              <w:left w:type="dxa" w:w="120"/>
              <w:bottom w:type="dxa" w:w="80"/>
              <w:right w:type="dxa" w:w="120"/>
            </w:tcMar>
          </w:tcPr>
          <w:p>
            <w:pPr>
              <w:spacing w:after="40"/>
              <w:jc w:val="center"/>
            </w:pPr>
            <w:r>
              <w:rPr>
                <w:b/>
                <w:bCs/>
                <w:color w:val="2F7D4F"/>
                <w:sz w:val="20"/>
                <w:szCs w:val="20"/>
              </w:rPr>
              <w:t xml:space="preserve">Approve</w:t>
            </w:r>
          </w:p>
        </w:tc>
        <w:tc>
          <w:tcPr>
            <w:tcMar>
              <w:top w:type="dxa" w:w="80"/>
              <w:left w:type="dxa" w:w="120"/>
              <w:bottom w:type="dxa" w:w="80"/>
              <w:right w:type="dxa" w:w="120"/>
            </w:tcMar>
          </w:tcPr>
          <w:p>
            <w:pPr>
              <w:spacing w:after="40"/>
              <w:jc w:val="center"/>
            </w:pPr>
            <w:r>
              <w:rPr>
                <w:b w:val="false"/>
                <w:bCs w:val="false"/>
                <w:color w:val="1B1B1F"/>
                <w:sz w:val="20"/>
                <w:szCs w:val="20"/>
              </w:rPr>
              <w:t xml:space="preserve">Inform</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 Tier 4 (prohibited) exception</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Inform</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Add / remove model on Approved Models list</w:t>
            </w:r>
          </w:p>
        </w:tc>
        <w:tc>
          <w:tcPr>
            <w:tcMar>
              <w:top w:type="dxa" w:w="80"/>
              <w:left w:type="dxa" w:w="120"/>
              <w:bottom w:type="dxa" w:w="80"/>
              <w:right w:type="dxa" w:w="120"/>
            </w:tcMar>
          </w:tcPr>
          <w:p>
            <w:pPr>
              <w:spacing w:after="40"/>
              <w:jc w:val="center"/>
            </w:pPr>
            <w:r>
              <w:rPr>
                <w:b/>
                <w:bCs/>
                <w:color w:val="2F7D4F"/>
                <w:sz w:val="20"/>
                <w:szCs w:val="20"/>
              </w:rPr>
              <w:t xml:space="preserve">Approve</w:t>
            </w:r>
          </w:p>
        </w:tc>
        <w:tc>
          <w:tcP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 incident-driven pause / suspension of AI system</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 (urgent)</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Inform</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Inform (material)</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Approve material change to AI Governance Framework</w:t>
            </w:r>
          </w:p>
        </w:tc>
        <w:tc>
          <w:tcP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tcMar>
              <w:top w:type="dxa" w:w="80"/>
              <w:left w:type="dxa" w:w="120"/>
              <w:bottom w:type="dxa" w:w="80"/>
              <w:right w:type="dxa" w:w="120"/>
            </w:tcMar>
          </w:tcPr>
          <w:p>
            <w:pPr>
              <w:spacing w:after="40"/>
              <w:jc w:val="center"/>
            </w:pPr>
            <w:r>
              <w:rPr>
                <w:b/>
                <w:bCs/>
                <w:color w:val="2F7D4F"/>
                <w:sz w:val="20"/>
                <w:szCs w:val="20"/>
              </w:rPr>
              <w:t xml:space="preserve">Approve</w:t>
            </w:r>
          </w:p>
        </w:tc>
        <w:tc>
          <w:tcPr>
            <w:tcMar>
              <w:top w:type="dxa" w:w="80"/>
              <w:left w:type="dxa" w:w="120"/>
              <w:bottom w:type="dxa" w:w="80"/>
              <w:right w:type="dxa" w:w="120"/>
            </w:tcMar>
          </w:tcPr>
          <w:p>
            <w:pPr>
              <w:spacing w:after="40"/>
              <w:jc w:val="center"/>
            </w:pPr>
            <w:r>
              <w:rPr>
                <w:b w:val="false"/>
                <w:bCs w:val="false"/>
                <w:color w:val="1B1B1F"/>
                <w:sz w:val="20"/>
                <w:szCs w:val="20"/>
              </w:rPr>
              <w:t xml:space="preserve">Inform</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 material change to AUP</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Commission independent / external review</w:t>
            </w:r>
          </w:p>
        </w:tc>
        <w:tc>
          <w:tcPr>
            <w:tcMar>
              <w:top w:type="dxa" w:w="80"/>
              <w:left w:type="dxa" w:w="120"/>
              <w:bottom w:type="dxa" w:w="80"/>
              <w:right w:type="dxa" w:w="120"/>
            </w:tcMar>
          </w:tcPr>
          <w:p>
            <w:pPr>
              <w:spacing w:after="40"/>
              <w:jc w:val="center"/>
            </w:pPr>
            <w:r>
              <w:rPr>
                <w:b/>
                <w:bCs/>
                <w:color w:val="2F7D4F"/>
                <w:sz w:val="20"/>
                <w:szCs w:val="20"/>
              </w:rPr>
              <w:t xml:space="preserve">Approve</w:t>
            </w:r>
          </w:p>
        </w:tc>
        <w:tc>
          <w:tcPr>
            <w:tcMar>
              <w:top w:type="dxa" w:w="80"/>
              <w:left w:type="dxa" w:w="120"/>
              <w:bottom w:type="dxa" w:w="80"/>
              <w:right w:type="dxa" w:w="120"/>
            </w:tcMar>
          </w:tcPr>
          <w:p>
            <w:pPr>
              <w:spacing w:after="40"/>
              <w:jc w:val="center"/>
            </w:pPr>
            <w:r>
              <w:rPr>
                <w:b/>
                <w:bCs/>
                <w:color w:val="2F7D4F"/>
                <w:sz w:val="20"/>
                <w:szCs w:val="20"/>
              </w:rPr>
              <w:t xml:space="preserve">Approve (within delegation)</w:t>
            </w:r>
          </w:p>
        </w:tc>
        <w:tc>
          <w:tcPr>
            <w:tcMar>
              <w:top w:type="dxa" w:w="80"/>
              <w:left w:type="dxa" w:w="120"/>
              <w:bottom w:type="dxa" w:w="80"/>
              <w:right w:type="dxa" w:w="120"/>
            </w:tcMar>
          </w:tcPr>
          <w:p>
            <w:pPr>
              <w:spacing w:after="40"/>
              <w:jc w:val="center"/>
            </w:pPr>
            <w:r>
              <w:rPr>
                <w:b w:val="false"/>
                <w:bCs w:val="false"/>
                <w:color w:val="1B1B1F"/>
                <w:sz w:val="20"/>
                <w:szCs w:val="20"/>
              </w:rPr>
              <w:t xml:space="preserve">—</w:t>
            </w:r>
          </w:p>
        </w:tc>
        <w:tc>
          <w:tcPr>
            <w:tcMar>
              <w:top w:type="dxa" w:w="80"/>
              <w:left w:type="dxa" w:w="120"/>
              <w:bottom w:type="dxa" w:w="80"/>
              <w:right w:type="dxa" w:w="120"/>
            </w:tcMar>
          </w:tcPr>
          <w:p>
            <w:pPr>
              <w:spacing w:after="40"/>
              <w:jc w:val="center"/>
            </w:pPr>
            <w:r>
              <w:rPr>
                <w:b w:val="false"/>
                <w:bCs w:val="false"/>
                <w:color w:val="1B1B1F"/>
                <w:sz w:val="20"/>
                <w:szCs w:val="20"/>
              </w:rPr>
              <w:t xml:space="preserve">Inform</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Approve regulator notification on AI matter</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w:t>
            </w:r>
          </w:p>
        </w:tc>
        <w:tc>
          <w:tcPr>
            <w:shd w:fill="F3F6FC" w:color="auto" w:val="clear"/>
            <w:tcMar>
              <w:top w:type="dxa" w:w="80"/>
              <w:left w:type="dxa" w:w="120"/>
              <w:bottom w:type="dxa" w:w="80"/>
              <w:right w:type="dxa" w:w="120"/>
            </w:tcMar>
          </w:tcPr>
          <w:p>
            <w:pPr>
              <w:spacing w:after="40"/>
              <w:jc w:val="center"/>
            </w:pPr>
            <w:r>
              <w:rPr>
                <w:b w:val="false"/>
                <w:bCs w:val="false"/>
                <w:color w:val="1B1B1F"/>
                <w:sz w:val="20"/>
                <w:szCs w:val="20"/>
              </w:rPr>
              <w:t xml:space="preserve">Recommend</w:t>
            </w:r>
          </w:p>
        </w:tc>
        <w:tc>
          <w:tcPr>
            <w:shd w:fill="F3F6FC" w:color="auto" w:val="clear"/>
            <w:tcMar>
              <w:top w:type="dxa" w:w="80"/>
              <w:left w:type="dxa" w:w="120"/>
              <w:bottom w:type="dxa" w:w="80"/>
              <w:right w:type="dxa" w:w="120"/>
            </w:tcMar>
          </w:tcPr>
          <w:p>
            <w:pPr>
              <w:spacing w:after="40"/>
              <w:jc w:val="center"/>
            </w:pPr>
            <w:r>
              <w:rPr>
                <w:b/>
                <w:bCs/>
                <w:color w:val="2F7D4F"/>
                <w:sz w:val="20"/>
                <w:szCs w:val="20"/>
              </w:rPr>
              <w:t xml:space="preserve">Approve (per existing rules)</w:t>
            </w:r>
          </w:p>
        </w:tc>
      </w:tr>
    </w:tbl>
    <w:p>
      <w:pPr>
        <w:pStyle w:val="Heading1"/>
        <w:spacing w:after="160" w:before="360"/>
      </w:pPr>
      <w:r>
        <w:rPr>
          <w:b/>
          <w:bCs/>
          <w:color w:val="1F3864"/>
          <w:sz w:val="30"/>
          <w:szCs w:val="30"/>
        </w:rPr>
        <w:t xml:space="preserve">8. Subcommittees and Working Groups</w:t>
      </w:r>
    </w:p>
    <w:p>
      <w:pPr>
        <w:spacing w:after="120" w:line="300"/>
      </w:pPr>
      <w:r>
        <w:t xml:space="preserve">The Council may establish subcommittees and working groups by majority vote, with written terms of reference, named lead, named members, decision rights and end-date. Subcommittees report back at the next standing meeting.</w:t>
      </w:r>
    </w:p>
    <w:p>
      <w:pPr>
        <w:pStyle w:val="ListParagraph"/>
        <w:numPr>
          <w:ilvl w:val="0"/>
          <w:numId w:val="2"/>
        </w:numPr>
        <w:spacing w:after="80" w:line="280"/>
      </w:pPr>
      <w:r>
        <w:t xml:space="preserve">Standing subcommittees envisaged at Year-1: Model Risk Working Group (for Tier 1 readiness); Citizen Developer Working Group (Copilot Studio governance); Vendor &amp; Third-Party Working Group.</w:t>
      </w:r>
    </w:p>
    <w:p>
      <w:pPr>
        <w:pStyle w:val="ListParagraph"/>
        <w:numPr>
          <w:ilvl w:val="0"/>
          <w:numId w:val="2"/>
        </w:numPr>
        <w:spacing w:after="80" w:line="280"/>
      </w:pPr>
      <w:r>
        <w:t xml:space="preserve">Working groups can take no decision the Council itself could not take; they cannot bypass quorum or voting thresholds.</w:t>
      </w:r>
    </w:p>
    <w:p>
      <w:pPr>
        <w:pStyle w:val="Heading1"/>
        <w:spacing w:after="160" w:before="360"/>
      </w:pPr>
      <w:r>
        <w:rPr>
          <w:b/>
          <w:bCs/>
          <w:color w:val="1F3864"/>
          <w:sz w:val="30"/>
          <w:szCs w:val="30"/>
        </w:rPr>
        <w:t xml:space="preserve">9. Secretariat</w:t>
      </w:r>
    </w:p>
    <w:p>
      <w:pPr>
        <w:spacing w:after="120" w:line="300"/>
      </w:pPr>
      <w:r>
        <w:t xml:space="preserve">The Council Secretary is the AI &amp; Automation Programme Manager. The Secretary attends every meeting, has no vote, and is responsible for the operational integrity of Council records.</w:t>
      </w:r>
    </w:p>
    <w:p>
      <w:pPr>
        <w:pStyle w:val="ListParagraph"/>
        <w:numPr>
          <w:ilvl w:val="0"/>
          <w:numId w:val="2"/>
        </w:numPr>
        <w:spacing w:after="80" w:line="280"/>
      </w:pPr>
      <w:r>
        <w:t xml:space="preserve">Maintains the Council calendar and circulates the agenda 5 working days before each meeting.</w:t>
      </w:r>
    </w:p>
    <w:p>
      <w:pPr>
        <w:pStyle w:val="ListParagraph"/>
        <w:numPr>
          <w:ilvl w:val="0"/>
          <w:numId w:val="2"/>
        </w:numPr>
        <w:spacing w:after="80" w:line="280"/>
      </w:pPr>
      <w:r>
        <w:t xml:space="preserve">Collects, formats and circulates the pre-read pack 48 hours before each meeting.</w:t>
      </w:r>
    </w:p>
    <w:p>
      <w:pPr>
        <w:pStyle w:val="ListParagraph"/>
        <w:numPr>
          <w:ilvl w:val="0"/>
          <w:numId w:val="2"/>
        </w:numPr>
        <w:spacing w:after="80" w:line="280"/>
      </w:pPr>
      <w:r>
        <w:t xml:space="preserve">Records minutes, the action log, the risk log and the decision log (see Part B).</w:t>
      </w:r>
    </w:p>
    <w:p>
      <w:pPr>
        <w:pStyle w:val="ListParagraph"/>
        <w:numPr>
          <w:ilvl w:val="0"/>
          <w:numId w:val="2"/>
        </w:numPr>
        <w:spacing w:after="80" w:line="280"/>
      </w:pPr>
      <w:r>
        <w:t xml:space="preserve">Distributes minutes within 3 working days of the meeting; minutes are confirmed at the next meeting.</w:t>
      </w:r>
    </w:p>
    <w:p>
      <w:pPr>
        <w:pStyle w:val="ListParagraph"/>
        <w:numPr>
          <w:ilvl w:val="0"/>
          <w:numId w:val="2"/>
        </w:numPr>
        <w:spacing w:after="80" w:line="280"/>
      </w:pPr>
      <w:r>
        <w:t xml:space="preserve">Maintains the membership register (principals, deputies, attendees).</w:t>
      </w:r>
    </w:p>
    <w:p>
      <w:pPr>
        <w:pStyle w:val="ListParagraph"/>
        <w:numPr>
          <w:ilvl w:val="0"/>
          <w:numId w:val="2"/>
        </w:numPr>
        <w:spacing w:after="80" w:line="280"/>
      </w:pPr>
      <w:r>
        <w:t xml:space="preserve">Maintains the Council artefact library on SharePoint (charter, framework, register, playbook, all decision packs).</w:t>
      </w:r>
    </w:p>
    <w:p>
      <w:pPr>
        <w:pStyle w:val="ListParagraph"/>
        <w:numPr>
          <w:ilvl w:val="0"/>
          <w:numId w:val="2"/>
        </w:numPr>
        <w:spacing w:after="80" w:line="280"/>
      </w:pPr>
      <w:r>
        <w:t xml:space="preserve">Tracks open actions to closure and reports overdue items at each meeting.</w:t>
      </w:r>
    </w:p>
    <w:p>
      <w:pPr>
        <w:pStyle w:val="Heading1"/>
        <w:spacing w:after="160" w:before="360"/>
      </w:pPr>
      <w:r>
        <w:rPr>
          <w:b/>
          <w:bCs/>
          <w:color w:val="1F3864"/>
          <w:sz w:val="30"/>
          <w:szCs w:val="30"/>
        </w:rPr>
        <w:t xml:space="preserve">10. Conflicts of Interest</w:t>
      </w:r>
    </w:p>
    <w:p>
      <w:pPr>
        <w:pStyle w:val="ListParagraph"/>
        <w:numPr>
          <w:ilvl w:val="0"/>
          <w:numId w:val="2"/>
        </w:numPr>
        <w:spacing w:after="80" w:line="280"/>
      </w:pPr>
      <w:r>
        <w:t xml:space="preserve">Members declare any actual, potential or perceived conflict in writing on appointment, and on each agenda item where one exists.</w:t>
      </w:r>
    </w:p>
    <w:p>
      <w:pPr>
        <w:pStyle w:val="ListParagraph"/>
        <w:numPr>
          <w:ilvl w:val="0"/>
          <w:numId w:val="2"/>
        </w:numPr>
        <w:spacing w:after="80" w:line="280"/>
      </w:pPr>
      <w:r>
        <w:t xml:space="preserve">A conflicted member does not vote on the affected item, does not count toward quorum on that item, and may be asked to leave the room for that item at the Chair's discretion.</w:t>
      </w:r>
    </w:p>
    <w:p>
      <w:pPr>
        <w:pStyle w:val="ListParagraph"/>
        <w:numPr>
          <w:ilvl w:val="0"/>
          <w:numId w:val="2"/>
        </w:numPr>
        <w:spacing w:after="80" w:line="280"/>
      </w:pPr>
      <w:r>
        <w:t xml:space="preserve">All declarations are recorded in the minutes.</w:t>
      </w:r>
    </w:p>
    <w:p>
      <w:pPr>
        <w:pStyle w:val="ListParagraph"/>
        <w:numPr>
          <w:ilvl w:val="0"/>
          <w:numId w:val="2"/>
        </w:numPr>
        <w:spacing w:after="80" w:line="280"/>
      </w:pPr>
      <w:r>
        <w:t xml:space="preserve">The standing register of declared interests is maintained by the Secretary and reviewed quarterly.</w:t>
      </w:r>
    </w:p>
    <w:p>
      <w:pPr>
        <w:pStyle w:val="Heading1"/>
        <w:spacing w:after="160" w:before="360"/>
      </w:pPr>
      <w:r>
        <w:rPr>
          <w:b/>
          <w:bCs/>
          <w:color w:val="1F3864"/>
          <w:sz w:val="30"/>
          <w:szCs w:val="30"/>
        </w:rPr>
        <w:t xml:space="preserve">11. Escalation</w:t>
      </w:r>
    </w:p>
    <w:p>
      <w:pPr>
        <w:pStyle w:val="ListParagraph"/>
        <w:numPr>
          <w:ilvl w:val="0"/>
          <w:numId w:val="2"/>
        </w:numPr>
        <w:spacing w:after="80" w:line="280"/>
      </w:pPr>
      <w:r>
        <w:t xml:space="preserve">Matters the Council cannot resolve within two consecutive meetings are escalated to ExCo with a written recommendation.</w:t>
      </w:r>
    </w:p>
    <w:p>
      <w:pPr>
        <w:pStyle w:val="ListParagraph"/>
        <w:numPr>
          <w:ilvl w:val="0"/>
          <w:numId w:val="2"/>
        </w:numPr>
        <w:spacing w:after="80" w:line="280"/>
      </w:pPr>
      <w:r>
        <w:t xml:space="preserve">Any matter with material regulatory exposure is escalated to the Board Risk Committee at the next available session, with interim notification by Chair.</w:t>
      </w:r>
    </w:p>
    <w:p>
      <w:pPr>
        <w:pStyle w:val="ListParagraph"/>
        <w:numPr>
          <w:ilvl w:val="0"/>
          <w:numId w:val="2"/>
        </w:numPr>
        <w:spacing w:after="80" w:line="280"/>
      </w:pPr>
      <w:r>
        <w:t xml:space="preserve">Disagreement between the Chair and any of CISO / CRO / DPO / GC on a Tier 1 or Tier 2 matter is automatically escalated to ExCo with both positions documented.</w:t>
      </w:r>
    </w:p>
    <w:p>
      <w:pPr>
        <w:pStyle w:val="ListParagraph"/>
        <w:numPr>
          <w:ilvl w:val="0"/>
          <w:numId w:val="2"/>
        </w:numPr>
        <w:spacing w:after="80" w:line="280"/>
      </w:pPr>
      <w:r>
        <w:t xml:space="preserve">Members may request an item be escalated; the request, the basis and the outcome are recorded.</w:t>
      </w:r>
    </w:p>
    <w:p>
      <w:pPr>
        <w:pStyle w:val="Heading1"/>
        <w:spacing w:after="160" w:before="360"/>
      </w:pPr>
      <w:r>
        <w:rPr>
          <w:b/>
          <w:bCs/>
          <w:color w:val="1F3864"/>
          <w:sz w:val="30"/>
          <w:szCs w:val="30"/>
        </w:rPr>
        <w:t xml:space="preserve">12. Confidentiality</w:t>
      </w:r>
    </w:p>
    <w:p>
      <w:pPr>
        <w:pStyle w:val="ListParagraph"/>
        <w:numPr>
          <w:ilvl w:val="0"/>
          <w:numId w:val="2"/>
        </w:numPr>
        <w:spacing w:after="80" w:line="280"/>
      </w:pPr>
      <w:r>
        <w:t xml:space="preserve">Pre-reads, deliberations, in-flight decisions and unpublished minutes are confidential to the Council.</w:t>
      </w:r>
    </w:p>
    <w:p>
      <w:pPr>
        <w:pStyle w:val="ListParagraph"/>
        <w:numPr>
          <w:ilvl w:val="0"/>
          <w:numId w:val="2"/>
        </w:numPr>
        <w:spacing w:after="80" w:line="280"/>
      </w:pPr>
      <w:r>
        <w:t xml:space="preserve">Members may share Council outputs with their immediate function for execution, on a need-to-know basis.</w:t>
      </w:r>
    </w:p>
    <w:p>
      <w:pPr>
        <w:pStyle w:val="ListParagraph"/>
        <w:numPr>
          <w:ilvl w:val="0"/>
          <w:numId w:val="2"/>
        </w:numPr>
        <w:spacing w:after="80" w:line="280"/>
      </w:pPr>
      <w:r>
        <w:t xml:space="preserve">Decisions of public or material interest are communicated through the agreed comms channel (Chair, CIO/CTO or CEO as appropriate), not by individual members.</w:t>
      </w:r>
    </w:p>
    <w:p>
      <w:pPr>
        <w:pStyle w:val="ListParagraph"/>
        <w:numPr>
          <w:ilvl w:val="0"/>
          <w:numId w:val="2"/>
        </w:numPr>
        <w:spacing w:after="80" w:line="280"/>
      </w:pPr>
      <w:r>
        <w:t xml:space="preserve">Records subject to legal privilege are marked accordingly and held by the General Counsel.</w:t>
      </w:r>
    </w:p>
    <w:p>
      <w:pPr>
        <w:pStyle w:val="Heading1"/>
        <w:spacing w:after="160" w:before="360"/>
      </w:pPr>
      <w:r>
        <w:rPr>
          <w:b/>
          <w:bCs/>
          <w:color w:val="1F3864"/>
          <w:sz w:val="30"/>
          <w:szCs w:val="30"/>
        </w:rPr>
        <w:t xml:space="preserve">13. Records and Retention</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gridCol w:w="100"/>
        <w:gridCol w:w="100"/>
      </w:tblGrid>
      <w:tr>
        <w:trPr>
          <w:tblHeader/>
        </w:trPr>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Record</w:t>
            </w:r>
          </w:p>
        </w:tc>
        <w:tc>
          <w:tcPr>
            <w:tcW w:type="pct" w:w="18%"/>
            <w:shd w:fill="1F3864" w:color="auto" w:val="clear"/>
            <w:tcMar>
              <w:top w:type="dxa" w:w="80"/>
              <w:left w:type="dxa" w:w="120"/>
              <w:bottom w:type="dxa" w:w="80"/>
              <w:right w:type="dxa" w:w="120"/>
            </w:tcMar>
          </w:tcPr>
          <w:p>
            <w:pPr>
              <w:spacing w:after="40"/>
              <w:jc w:val="left"/>
            </w:pPr>
            <w:r>
              <w:rPr>
                <w:b/>
                <w:bCs/>
                <w:color w:val="FFFFFF"/>
                <w:sz w:val="20"/>
                <w:szCs w:val="20"/>
              </w:rPr>
              <w:t xml:space="preserve">Owner</w:t>
            </w:r>
          </w:p>
        </w:tc>
        <w:tc>
          <w:tcPr>
            <w:tcW w:type="pct" w:w="22%"/>
            <w:shd w:fill="1F3864" w:color="auto" w:val="clear"/>
            <w:tcMar>
              <w:top w:type="dxa" w:w="80"/>
              <w:left w:type="dxa" w:w="120"/>
              <w:bottom w:type="dxa" w:w="80"/>
              <w:right w:type="dxa" w:w="120"/>
            </w:tcMar>
          </w:tcPr>
          <w:p>
            <w:pPr>
              <w:spacing w:after="40"/>
              <w:jc w:val="left"/>
            </w:pPr>
            <w:r>
              <w:rPr>
                <w:b/>
                <w:bCs/>
                <w:color w:val="FFFFFF"/>
                <w:sz w:val="20"/>
                <w:szCs w:val="20"/>
              </w:rPr>
              <w:t xml:space="preserve">Format</w:t>
            </w:r>
          </w:p>
        </w:tc>
        <w:tc>
          <w:tcPr>
            <w:tcW w:type="pct" w:w="30%"/>
            <w:shd w:fill="1F3864" w:color="auto" w:val="clear"/>
            <w:tcMar>
              <w:top w:type="dxa" w:w="80"/>
              <w:left w:type="dxa" w:w="120"/>
              <w:bottom w:type="dxa" w:w="80"/>
              <w:right w:type="dxa" w:w="120"/>
            </w:tcMar>
          </w:tcPr>
          <w:p>
            <w:pPr>
              <w:spacing w:after="40"/>
              <w:jc w:val="left"/>
            </w:pPr>
            <w:r>
              <w:rPr>
                <w:b/>
                <w:bCs/>
                <w:color w:val="FFFFFF"/>
                <w:sz w:val="20"/>
                <w:szCs w:val="20"/>
              </w:rPr>
              <w:t xml:space="preserve">Retention</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Charter (this document)</w:t>
            </w:r>
          </w:p>
        </w:tc>
        <w:tc>
          <w:tcPr>
            <w:tcMar>
              <w:top w:type="dxa" w:w="80"/>
              <w:left w:type="dxa" w:w="120"/>
              <w:bottom w:type="dxa" w:w="80"/>
              <w:right w:type="dxa" w:w="120"/>
            </w:tcMar>
          </w:tcPr>
          <w:p>
            <w:pPr>
              <w:spacing w:after="40"/>
              <w:jc w:val="left"/>
            </w:pPr>
            <w:r>
              <w:rPr>
                <w:b w:val="false"/>
                <w:bCs w:val="false"/>
                <w:color w:val="1B1B1F"/>
                <w:sz w:val="20"/>
                <w:szCs w:val="20"/>
              </w:rPr>
              <w:t xml:space="preserve">Chair / Secretary</w:t>
            </w:r>
          </w:p>
        </w:tc>
        <w:tc>
          <w:tcPr>
            <w:tcMar>
              <w:top w:type="dxa" w:w="80"/>
              <w:left w:type="dxa" w:w="120"/>
              <w:bottom w:type="dxa" w:w="80"/>
              <w:right w:type="dxa" w:w="120"/>
            </w:tcMar>
          </w:tcPr>
          <w:p>
            <w:pPr>
              <w:spacing w:after="40"/>
              <w:jc w:val="left"/>
            </w:pPr>
            <w:r>
              <w:rPr>
                <w:b w:val="false"/>
                <w:bCs w:val="false"/>
                <w:color w:val="1B1B1F"/>
                <w:sz w:val="20"/>
                <w:szCs w:val="20"/>
              </w:rPr>
              <w:t xml:space="preserve">Word + PDF on SharePoint</w:t>
            </w:r>
          </w:p>
        </w:tc>
        <w:tc>
          <w:tcPr>
            <w:tcMar>
              <w:top w:type="dxa" w:w="80"/>
              <w:left w:type="dxa" w:w="120"/>
              <w:bottom w:type="dxa" w:w="80"/>
              <w:right w:type="dxa" w:w="120"/>
            </w:tcMar>
          </w:tcPr>
          <w:p>
            <w:pPr>
              <w:spacing w:after="40"/>
              <w:jc w:val="left"/>
            </w:pPr>
            <w:r>
              <w:rPr>
                <w:b w:val="false"/>
                <w:bCs w:val="false"/>
                <w:color w:val="1B1B1F"/>
                <w:sz w:val="20"/>
                <w:szCs w:val="20"/>
              </w:rPr>
              <w:t xml:space="preserve">Indefinite (current + superseded versions)</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Agenda + pre-read pack</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PDF on SharePoint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7 years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Minutes</w:t>
            </w:r>
          </w:p>
        </w:tc>
        <w:tc>
          <w:tcP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tcMar>
              <w:top w:type="dxa" w:w="80"/>
              <w:left w:type="dxa" w:w="120"/>
              <w:bottom w:type="dxa" w:w="80"/>
              <w:right w:type="dxa" w:w="120"/>
            </w:tcMar>
          </w:tcPr>
          <w:p>
            <w:pPr>
              <w:spacing w:after="40"/>
              <w:jc w:val="left"/>
            </w:pPr>
            <w:r>
              <w:rPr>
                <w:b w:val="false"/>
                <w:bCs w:val="false"/>
                <w:color w:val="1B1B1F"/>
                <w:sz w:val="20"/>
                <w:szCs w:val="20"/>
              </w:rPr>
              <w:t xml:space="preserve">Word + PDF on SharePoint</w:t>
            </w:r>
          </w:p>
        </w:tc>
        <w:tc>
          <w:tcPr>
            <w:tcMar>
              <w:top w:type="dxa" w:w="80"/>
              <w:left w:type="dxa" w:w="120"/>
              <w:bottom w:type="dxa" w:w="80"/>
              <w:right w:type="dxa" w:w="120"/>
            </w:tcMar>
          </w:tcPr>
          <w:p>
            <w:pPr>
              <w:spacing w:after="40"/>
              <w:jc w:val="left"/>
            </w:pPr>
            <w:r>
              <w:rPr>
                <w:b w:val="false"/>
                <w:bCs w:val="false"/>
                <w:color w:val="1B1B1F"/>
                <w:sz w:val="20"/>
                <w:szCs w:val="20"/>
              </w:rPr>
              <w:t xml:space="preserve">Indefinite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Decision log (Part B)</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SharePoint list + Excel export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Indefinite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Action log</w:t>
            </w:r>
          </w:p>
        </w:tc>
        <w:tc>
          <w:tcP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tcMar>
              <w:top w:type="dxa" w:w="80"/>
              <w:left w:type="dxa" w:w="120"/>
              <w:bottom w:type="dxa" w:w="80"/>
              <w:right w:type="dxa" w:w="120"/>
            </w:tcMar>
          </w:tcPr>
          <w:p>
            <w:pPr>
              <w:spacing w:after="40"/>
              <w:jc w:val="left"/>
            </w:pPr>
            <w:r>
              <w:rPr>
                <w:b w:val="false"/>
                <w:bCs w:val="false"/>
                <w:color w:val="1B1B1F"/>
                <w:sz w:val="20"/>
                <w:szCs w:val="20"/>
              </w:rPr>
              <w:t xml:space="preserve">SharePoint list</w:t>
            </w:r>
          </w:p>
        </w:tc>
        <w:tc>
          <w:tcPr>
            <w:tcMar>
              <w:top w:type="dxa" w:w="80"/>
              <w:left w:type="dxa" w:w="120"/>
              <w:bottom w:type="dxa" w:w="80"/>
              <w:right w:type="dxa" w:w="120"/>
            </w:tcMar>
          </w:tcPr>
          <w:p>
            <w:pPr>
              <w:spacing w:after="40"/>
              <w:jc w:val="left"/>
            </w:pPr>
            <w:r>
              <w:rPr>
                <w:b w:val="false"/>
                <w:bCs w:val="false"/>
                <w:color w:val="1B1B1F"/>
                <w:sz w:val="20"/>
                <w:szCs w:val="20"/>
              </w:rPr>
              <w:t xml:space="preserve">7 years from closure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Conflicts register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SharePoint list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Indefinite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Use-case approval packs</w:t>
            </w:r>
          </w:p>
        </w:tc>
        <w:tc>
          <w:tcPr>
            <w:tcMar>
              <w:top w:type="dxa" w:w="80"/>
              <w:left w:type="dxa" w:w="120"/>
              <w:bottom w:type="dxa" w:w="80"/>
              <w:right w:type="dxa" w:w="120"/>
            </w:tcMar>
          </w:tcPr>
          <w:p>
            <w:pPr>
              <w:spacing w:after="40"/>
              <w:jc w:val="left"/>
            </w:pPr>
            <w:r>
              <w:rPr>
                <w:b w:val="false"/>
                <w:bCs w:val="false"/>
                <w:color w:val="1B1B1F"/>
                <w:sz w:val="20"/>
                <w:szCs w:val="20"/>
              </w:rPr>
              <w:t xml:space="preserve">Secretary</w:t>
            </w:r>
          </w:p>
        </w:tc>
        <w:tc>
          <w:tcPr>
            <w:tcMar>
              <w:top w:type="dxa" w:w="80"/>
              <w:left w:type="dxa" w:w="120"/>
              <w:bottom w:type="dxa" w:w="80"/>
              <w:right w:type="dxa" w:w="120"/>
            </w:tcMar>
          </w:tcPr>
          <w:p>
            <w:pPr>
              <w:spacing w:after="40"/>
              <w:jc w:val="left"/>
            </w:pPr>
            <w:r>
              <w:rPr>
                <w:b w:val="false"/>
                <w:bCs w:val="false"/>
                <w:color w:val="1B1B1F"/>
                <w:sz w:val="20"/>
                <w:szCs w:val="20"/>
              </w:rPr>
              <w:t xml:space="preserve">SharePoint folder per case</w:t>
            </w:r>
          </w:p>
        </w:tc>
        <w:tc>
          <w:tcPr>
            <w:tcMar>
              <w:top w:type="dxa" w:w="80"/>
              <w:left w:type="dxa" w:w="120"/>
              <w:bottom w:type="dxa" w:w="80"/>
              <w:right w:type="dxa" w:w="120"/>
            </w:tcMar>
          </w:tcPr>
          <w:p>
            <w:pPr>
              <w:spacing w:after="40"/>
              <w:jc w:val="left"/>
            </w:pPr>
            <w:r>
              <w:rPr>
                <w:b w:val="false"/>
                <w:bCs w:val="false"/>
                <w:color w:val="1B1B1F"/>
                <w:sz w:val="20"/>
                <w:szCs w:val="20"/>
              </w:rPr>
              <w:t xml:space="preserve">Use-case lifetime + 7 years</w:t>
            </w:r>
          </w:p>
        </w:tc>
      </w:tr>
    </w:tbl>
    <w:p>
      <w:pPr>
        <w:spacing w:after="80"/>
      </w:pPr>
      <w:r>
        <w:rPr>
          <w:i/>
          <w:iCs/>
          <w:color w:val="5A5A66"/>
          <w:sz w:val="20"/>
          <w:szCs w:val="20"/>
        </w:rPr>
        <w:t xml:space="preserve">All retention is per the Records Management Policy; AI Council records may be discoverable in regulatory or litigation contexts and are managed accordingly.</w:t>
      </w:r>
    </w:p>
    <w:p>
      <w:pPr>
        <w:pStyle w:val="Heading1"/>
        <w:spacing w:after="160" w:before="360"/>
      </w:pPr>
      <w:r>
        <w:rPr>
          <w:b/>
          <w:bCs/>
          <w:color w:val="1F3864"/>
          <w:sz w:val="30"/>
          <w:szCs w:val="30"/>
        </w:rPr>
        <w:t xml:space="preserve">14. Performance Review of the Council</w:t>
      </w:r>
    </w:p>
    <w:p>
      <w:pPr>
        <w:pStyle w:val="ListParagraph"/>
        <w:numPr>
          <w:ilvl w:val="0"/>
          <w:numId w:val="2"/>
        </w:numPr>
        <w:spacing w:after="80" w:line="280"/>
      </w:pPr>
      <w:r>
        <w:t xml:space="preserve">Annual self-assessment by all members against this Charter; results discussed at the next quarterly extended session.</w:t>
      </w:r>
    </w:p>
    <w:p>
      <w:pPr>
        <w:pStyle w:val="ListParagraph"/>
        <w:numPr>
          <w:ilvl w:val="0"/>
          <w:numId w:val="2"/>
        </w:numPr>
        <w:spacing w:after="80" w:line="280"/>
      </w:pPr>
      <w:r>
        <w:t xml:space="preserve">Annual external or independent review every two years (Internal Audit alternating with external).</w:t>
      </w:r>
    </w:p>
    <w:p>
      <w:pPr>
        <w:pStyle w:val="ListParagraph"/>
        <w:numPr>
          <w:ilvl w:val="0"/>
          <w:numId w:val="2"/>
        </w:numPr>
        <w:spacing w:after="80" w:line="280"/>
      </w:pPr>
      <w:r>
        <w:t xml:space="preserve">Public-style ExCo update once a year on Council effectiveness.</w:t>
      </w:r>
    </w:p>
    <w:p>
      <w:pPr>
        <w:pStyle w:val="Heading1"/>
        <w:spacing w:after="160" w:before="360"/>
      </w:pPr>
      <w:r>
        <w:rPr>
          <w:b/>
          <w:bCs/>
          <w:color w:val="1F3864"/>
          <w:sz w:val="30"/>
          <w:szCs w:val="30"/>
        </w:rPr>
        <w:t xml:space="preserve">15. Amendment of the Charter</w:t>
      </w:r>
    </w:p>
    <w:p>
      <w:pPr>
        <w:pStyle w:val="ListParagraph"/>
        <w:numPr>
          <w:ilvl w:val="0"/>
          <w:numId w:val="2"/>
        </w:numPr>
        <w:spacing w:after="80" w:line="280"/>
      </w:pPr>
      <w:r>
        <w:t xml:space="preserve">Any member may propose amendments in writing to the Chair.</w:t>
      </w:r>
    </w:p>
    <w:p>
      <w:pPr>
        <w:pStyle w:val="ListParagraph"/>
        <w:numPr>
          <w:ilvl w:val="0"/>
          <w:numId w:val="2"/>
        </w:numPr>
        <w:spacing w:after="80" w:line="280"/>
      </w:pPr>
      <w:r>
        <w:t xml:space="preserve">Material amendments require Council recommendation by majority and ExCo approval.</w:t>
      </w:r>
    </w:p>
    <w:p>
      <w:pPr>
        <w:pStyle w:val="ListParagraph"/>
        <w:numPr>
          <w:ilvl w:val="0"/>
          <w:numId w:val="2"/>
        </w:numPr>
        <w:spacing w:after="80" w:line="280"/>
      </w:pPr>
      <w:r>
        <w:t xml:space="preserve">Minor amendments (clarifications, contact details, references to other documents) may be approved by Chair and recorded at the next meeting.</w:t>
      </w:r>
    </w:p>
    <w:p>
      <w:pPr>
        <w:pStyle w:val="ListParagraph"/>
        <w:numPr>
          <w:ilvl w:val="0"/>
          <w:numId w:val="2"/>
        </w:numPr>
        <w:spacing w:after="80" w:line="280"/>
      </w:pPr>
      <w:r>
        <w:t xml:space="preserve">Charter is reviewed at least annually.</w:t>
      </w:r>
    </w:p>
    <w:p>
      <w:pPr>
        <w:spacing w:after="60" w:before="400"/>
        <w:jc w:val="center"/>
      </w:pPr>
      <w:r>
        <w:rPr>
          <w:b/>
          <w:bCs/>
          <w:color w:val="1F3864"/>
          <w:sz w:val="28"/>
          <w:szCs w:val="28"/>
        </w:rPr>
        <w:t xml:space="preserve">PART B — DECISION LOG TEMPLATE</w:t>
      </w:r>
    </w:p>
    <w:p>
      <w:pPr>
        <w:pBdr>
          <w:bottom w:val="single" w:color="D9D9D9" w:sz="8" w:space="1"/>
        </w:pBdr>
      </w:pPr>
    </w:p>
    <w:p>
      <w:pPr>
        <w:pStyle w:val="Heading1"/>
        <w:spacing w:after="160" w:before="360"/>
      </w:pPr>
      <w:r>
        <w:rPr>
          <w:b/>
          <w:bCs/>
          <w:color w:val="1F3864"/>
          <w:sz w:val="30"/>
          <w:szCs w:val="30"/>
        </w:rPr>
        <w:t xml:space="preserve">B.1 Purpose and Discipline</w:t>
      </w:r>
    </w:p>
    <w:p>
      <w:pPr>
        <w:spacing w:after="120" w:line="300"/>
      </w:pPr>
      <w:r>
        <w:t xml:space="preserve">Every decision the Council takes is recorded in the Decision Log. The Log exists so that — months or years later — an auditor, regulator, new Council member, or affected business can answer four questions: what was decided, what was the reasoning, what conditions applied, and is it still valid.</w:t>
      </w:r>
    </w:p>
    <w:p>
      <w:pPr>
        <w:spacing w:after="120" w:line="300"/>
      </w:pPr>
      <w:r>
        <w:t xml:space="preserve">The Log is maintained by the Secretary as a SharePoint list, with each entry exportable to PDF for audit packs. Entries are not edited after closure of the meeting; corrections are made by issuing a superseding entry and noting the link.</w:t>
      </w:r>
    </w:p>
    <w:p>
      <w:pPr>
        <w:pStyle w:val="Heading1"/>
        <w:spacing w:after="160" w:before="360"/>
      </w:pPr>
      <w:r>
        <w:rPr>
          <w:b/>
          <w:bCs/>
          <w:color w:val="1F3864"/>
          <w:sz w:val="30"/>
          <w:szCs w:val="30"/>
        </w:rPr>
        <w:t xml:space="preserve">B.2 Required fields</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Field</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What goes in it</w:t>
            </w:r>
          </w:p>
        </w:tc>
      </w:tr>
      <w:tr>
        <w:tc>
          <w:tcPr>
            <w:tcMar>
              <w:top w:type="dxa" w:w="80"/>
              <w:left w:type="dxa" w:w="120"/>
              <w:bottom w:type="dxa" w:w="80"/>
              <w:right w:type="dxa" w:w="120"/>
            </w:tcMar>
          </w:tcPr>
          <w:p>
            <w:pPr>
              <w:spacing w:after="40"/>
              <w:jc w:val="left"/>
            </w:pPr>
            <w:r>
              <w:rPr>
                <w:b/>
                <w:bCs/>
                <w:color w:val="1B1B1F"/>
                <w:sz w:val="20"/>
                <w:szCs w:val="20"/>
              </w:rPr>
              <w:t xml:space="preserve">Decision ID</w:t>
            </w:r>
          </w:p>
        </w:tc>
        <w:tc>
          <w:tcPr>
            <w:tcMar>
              <w:top w:type="dxa" w:w="80"/>
              <w:left w:type="dxa" w:w="120"/>
              <w:bottom w:type="dxa" w:w="80"/>
              <w:right w:type="dxa" w:w="120"/>
            </w:tcMar>
          </w:tcPr>
          <w:p>
            <w:pPr>
              <w:spacing w:after="40"/>
              <w:jc w:val="left"/>
            </w:pPr>
            <w:r>
              <w:rPr>
                <w:b w:val="false"/>
                <w:bCs w:val="false"/>
                <w:color w:val="1B1B1F"/>
                <w:sz w:val="20"/>
                <w:szCs w:val="20"/>
              </w:rPr>
              <w:t xml:space="preserve">Sequential ID, format: AICD-YYYY-NNN. Stable forever.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Date of the meeting at which the decision was taken.</w:t>
            </w:r>
          </w:p>
        </w:tc>
      </w:tr>
      <w:tr>
        <w:tc>
          <w:tcPr>
            <w:tcMar>
              <w:top w:type="dxa" w:w="80"/>
              <w:left w:type="dxa" w:w="120"/>
              <w:bottom w:type="dxa" w:w="80"/>
              <w:right w:type="dxa" w:w="120"/>
            </w:tcMar>
          </w:tcPr>
          <w:p>
            <w:pPr>
              <w:spacing w:after="40"/>
              <w:jc w:val="left"/>
            </w:pPr>
            <w:r>
              <w:rPr>
                <w:b/>
                <w:bCs/>
                <w:color w:val="1B1B1F"/>
                <w:sz w:val="20"/>
                <w:szCs w:val="20"/>
              </w:rPr>
              <w:t xml:space="preserve">Decision type</w:t>
            </w:r>
          </w:p>
        </w:tc>
        <w:tc>
          <w:tcPr>
            <w:tcMar>
              <w:top w:type="dxa" w:w="80"/>
              <w:left w:type="dxa" w:w="120"/>
              <w:bottom w:type="dxa" w:w="80"/>
              <w:right w:type="dxa" w:w="120"/>
            </w:tcMar>
          </w:tcPr>
          <w:p>
            <w:pPr>
              <w:spacing w:after="40"/>
              <w:jc w:val="left"/>
            </w:pPr>
            <w:r>
              <w:rPr>
                <w:b w:val="false"/>
                <w:bCs w:val="false"/>
                <w:color w:val="1B1B1F"/>
                <w:sz w:val="20"/>
                <w:szCs w:val="20"/>
              </w:rPr>
              <w:t xml:space="preserve">Approve / Reject / Defer / Condition / Suspend / Confirm-T3 / Recommend-to-ExCo / Charter-update / Other.</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Subject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One-line description, e.g. 'Approve T2 use case: Contact-centre copilot pilot, Retail Ops'.</w:t>
            </w:r>
          </w:p>
        </w:tc>
      </w:tr>
      <w:tr>
        <w:tc>
          <w:tcPr>
            <w:tcMar>
              <w:top w:type="dxa" w:w="80"/>
              <w:left w:type="dxa" w:w="120"/>
              <w:bottom w:type="dxa" w:w="80"/>
              <w:right w:type="dxa" w:w="120"/>
            </w:tcMar>
          </w:tcPr>
          <w:p>
            <w:pPr>
              <w:spacing w:after="40"/>
              <w:jc w:val="left"/>
            </w:pPr>
            <w:r>
              <w:rPr>
                <w:b/>
                <w:bCs/>
                <w:color w:val="1B1B1F"/>
                <w:sz w:val="20"/>
                <w:szCs w:val="20"/>
              </w:rPr>
              <w:t xml:space="preserve">Use-case ID (if applicable)</w:t>
            </w:r>
          </w:p>
        </w:tc>
        <w:tc>
          <w:tcPr>
            <w:tcMar>
              <w:top w:type="dxa" w:w="80"/>
              <w:left w:type="dxa" w:w="120"/>
              <w:bottom w:type="dxa" w:w="80"/>
              <w:right w:type="dxa" w:w="120"/>
            </w:tcMar>
          </w:tcPr>
          <w:p>
            <w:pPr>
              <w:spacing w:after="40"/>
              <w:jc w:val="left"/>
            </w:pPr>
            <w:r>
              <w:rPr>
                <w:b w:val="false"/>
                <w:bCs w:val="false"/>
                <w:color w:val="1B1B1F"/>
                <w:sz w:val="20"/>
                <w:szCs w:val="20"/>
              </w:rPr>
              <w:t xml:space="preserve">Reference into the AI use-case register (UC-YYYY-NNN).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Tier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T1 / T2 / T3 / T4 / N/A. Required if the decision is about a use case.</w:t>
            </w:r>
          </w:p>
        </w:tc>
      </w:tr>
      <w:tr>
        <w:tc>
          <w:tcPr>
            <w:tcMar>
              <w:top w:type="dxa" w:w="80"/>
              <w:left w:type="dxa" w:w="120"/>
              <w:bottom w:type="dxa" w:w="80"/>
              <w:right w:type="dxa" w:w="120"/>
            </w:tcMar>
          </w:tcPr>
          <w:p>
            <w:pPr>
              <w:spacing w:after="40"/>
              <w:jc w:val="left"/>
            </w:pPr>
            <w:r>
              <w:rPr>
                <w:b/>
                <w:bCs/>
                <w:color w:val="1B1B1F"/>
                <w:sz w:val="20"/>
                <w:szCs w:val="20"/>
              </w:rPr>
              <w:t xml:space="preserve">Proposer</w:t>
            </w:r>
          </w:p>
        </w:tc>
        <w:tc>
          <w:tcPr>
            <w:tcMar>
              <w:top w:type="dxa" w:w="80"/>
              <w:left w:type="dxa" w:w="120"/>
              <w:bottom w:type="dxa" w:w="80"/>
              <w:right w:type="dxa" w:w="120"/>
            </w:tcMar>
          </w:tcPr>
          <w:p>
            <w:pPr>
              <w:spacing w:after="40"/>
              <w:jc w:val="left"/>
            </w:pPr>
            <w:r>
              <w:rPr>
                <w:b w:val="false"/>
                <w:bCs w:val="false"/>
                <w:color w:val="1B1B1F"/>
                <w:sz w:val="20"/>
                <w:szCs w:val="20"/>
              </w:rPr>
              <w:t xml:space="preserve">Name and role of the person bringing the decision.</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Vote summary</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For / against / abstain (count). Names recorded only when explicitly requested by a dissenting member.</w:t>
            </w:r>
          </w:p>
        </w:tc>
      </w:tr>
      <w:tr>
        <w:tc>
          <w:tcPr>
            <w:tcMar>
              <w:top w:type="dxa" w:w="80"/>
              <w:left w:type="dxa" w:w="120"/>
              <w:bottom w:type="dxa" w:w="80"/>
              <w:right w:type="dxa" w:w="120"/>
            </w:tcMar>
          </w:tcPr>
          <w:p>
            <w:pPr>
              <w:spacing w:after="40"/>
              <w:jc w:val="left"/>
            </w:pPr>
            <w:r>
              <w:rPr>
                <w:b/>
                <w:bCs/>
                <w:color w:val="1B1B1F"/>
                <w:sz w:val="20"/>
                <w:szCs w:val="20"/>
              </w:rPr>
              <w:t xml:space="preserve">Conflicts declared</w:t>
            </w:r>
          </w:p>
        </w:tc>
        <w:tc>
          <w:tcPr>
            <w:tcMar>
              <w:top w:type="dxa" w:w="80"/>
              <w:left w:type="dxa" w:w="120"/>
              <w:bottom w:type="dxa" w:w="80"/>
              <w:right w:type="dxa" w:w="120"/>
            </w:tcMar>
          </w:tcPr>
          <w:p>
            <w:pPr>
              <w:spacing w:after="40"/>
              <w:jc w:val="left"/>
            </w:pPr>
            <w:r>
              <w:rPr>
                <w:b w:val="false"/>
                <w:bCs w:val="false"/>
                <w:color w:val="1B1B1F"/>
                <w:sz w:val="20"/>
                <w:szCs w:val="20"/>
              </w:rPr>
              <w:t xml:space="preserve">Names of conflicted members and how the conflict was managed.</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Rationale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The reasoning, in 3–6 sentences. Specifies the principle (Framework §2), the data, and the trade-offs.</w:t>
            </w:r>
          </w:p>
        </w:tc>
      </w:tr>
      <w:tr>
        <w:tc>
          <w:tcPr>
            <w:tcMar>
              <w:top w:type="dxa" w:w="80"/>
              <w:left w:type="dxa" w:w="120"/>
              <w:bottom w:type="dxa" w:w="80"/>
              <w:right w:type="dxa" w:w="120"/>
            </w:tcMar>
          </w:tcPr>
          <w:p>
            <w:pPr>
              <w:spacing w:after="40"/>
              <w:jc w:val="left"/>
            </w:pPr>
            <w:r>
              <w:rPr>
                <w:b/>
                <w:bCs/>
                <w:color w:val="1B1B1F"/>
                <w:sz w:val="20"/>
                <w:szCs w:val="20"/>
              </w:rPr>
              <w:t xml:space="preserve">Conditions</w:t>
            </w:r>
          </w:p>
        </w:tc>
        <w:tc>
          <w:tcPr>
            <w:tcMar>
              <w:top w:type="dxa" w:w="80"/>
              <w:left w:type="dxa" w:w="120"/>
              <w:bottom w:type="dxa" w:w="80"/>
              <w:right w:type="dxa" w:w="120"/>
            </w:tcMar>
          </w:tcPr>
          <w:p>
            <w:pPr>
              <w:spacing w:after="40"/>
              <w:jc w:val="left"/>
            </w:pPr>
            <w:r>
              <w:rPr>
                <w:b w:val="false"/>
                <w:bCs w:val="false"/>
                <w:color w:val="1B1B1F"/>
                <w:sz w:val="20"/>
                <w:szCs w:val="20"/>
              </w:rPr>
              <w:t xml:space="preserve">Any conditions attached to the decision (e.g. control to add, milestone to hit, evidence to produce). Each with named owner and date.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Effective 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When the decision takes effect (default: meeting date).</w:t>
            </w:r>
          </w:p>
        </w:tc>
      </w:tr>
      <w:tr>
        <w:tc>
          <w:tcPr>
            <w:tcMar>
              <w:top w:type="dxa" w:w="80"/>
              <w:left w:type="dxa" w:w="120"/>
              <w:bottom w:type="dxa" w:w="80"/>
              <w:right w:type="dxa" w:w="120"/>
            </w:tcMar>
          </w:tcPr>
          <w:p>
            <w:pPr>
              <w:spacing w:after="40"/>
              <w:jc w:val="left"/>
            </w:pPr>
            <w:r>
              <w:rPr>
                <w:b/>
                <w:bCs/>
                <w:color w:val="1B1B1F"/>
                <w:sz w:val="20"/>
                <w:szCs w:val="20"/>
              </w:rPr>
              <w:t xml:space="preserve">Review / expiry date</w:t>
            </w:r>
          </w:p>
        </w:tc>
        <w:tc>
          <w:tcPr>
            <w:tcMar>
              <w:top w:type="dxa" w:w="80"/>
              <w:left w:type="dxa" w:w="120"/>
              <w:bottom w:type="dxa" w:w="80"/>
              <w:right w:type="dxa" w:w="120"/>
            </w:tcMar>
          </w:tcPr>
          <w:p>
            <w:pPr>
              <w:spacing w:after="40"/>
              <w:jc w:val="left"/>
            </w:pPr>
            <w:r>
              <w:rPr>
                <w:b w:val="false"/>
                <w:bCs w:val="false"/>
                <w:color w:val="1B1B1F"/>
                <w:sz w:val="20"/>
                <w:szCs w:val="20"/>
              </w:rPr>
              <w:t xml:space="preserve">When the decision is reviewed (default per tier: T1 = 6 months, T2 = 12 months, T3 = annually, controls/policy = annually). 'Indefinite' permitted only for charter / framework decisions.</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Related artefacts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Links to use-case pack, intake form, DPIA, vendor DDQ, control register entries, ServiceNow tickets.</w:t>
            </w:r>
          </w:p>
        </w:tc>
      </w:tr>
      <w:tr>
        <w:tc>
          <w:tcPr>
            <w:tcMar>
              <w:top w:type="dxa" w:w="80"/>
              <w:left w:type="dxa" w:w="120"/>
              <w:bottom w:type="dxa" w:w="80"/>
              <w:right w:type="dxa" w:w="120"/>
            </w:tcMar>
          </w:tcPr>
          <w:p>
            <w:pPr>
              <w:spacing w:after="40"/>
              <w:jc w:val="left"/>
            </w:pPr>
            <w:r>
              <w:rPr>
                <w:b/>
                <w:bCs/>
                <w:color w:val="1B1B1F"/>
                <w:sz w:val="20"/>
                <w:szCs w:val="20"/>
              </w:rPr>
              <w:t xml:space="preserve">Communicated to</w:t>
            </w:r>
          </w:p>
        </w:tc>
        <w:tc>
          <w:tcPr>
            <w:tcMar>
              <w:top w:type="dxa" w:w="80"/>
              <w:left w:type="dxa" w:w="120"/>
              <w:bottom w:type="dxa" w:w="80"/>
              <w:right w:type="dxa" w:w="120"/>
            </w:tcMar>
          </w:tcPr>
          <w:p>
            <w:pPr>
              <w:spacing w:after="40"/>
              <w:jc w:val="left"/>
            </w:pPr>
            <w:r>
              <w:rPr>
                <w:b w:val="false"/>
                <w:bCs w:val="false"/>
                <w:color w:val="1B1B1F"/>
                <w:sz w:val="20"/>
                <w:szCs w:val="20"/>
              </w:rPr>
              <w:t xml:space="preserve">Audiences notified and the channel used (e.g. ExCo update Q3, intranet AI hub, regulator filing reference).</w:t>
            </w:r>
          </w:p>
        </w:tc>
      </w:tr>
      <w:tr>
        <w:tc>
          <w:tcPr>
            <w:shd w:fill="F3F6FC" w:color="auto" w:val="clear"/>
            <w:tcMar>
              <w:top w:type="dxa" w:w="80"/>
              <w:left w:type="dxa" w:w="120"/>
              <w:bottom w:type="dxa" w:w="80"/>
              <w:right w:type="dxa" w:w="120"/>
            </w:tcMar>
          </w:tcPr>
          <w:p>
            <w:pPr>
              <w:spacing w:after="40"/>
              <w:jc w:val="left"/>
            </w:pPr>
            <w:r>
              <w:rPr>
                <w:b/>
                <w:bCs/>
                <w:color w:val="1B1B1F"/>
                <w:sz w:val="20"/>
                <w:szCs w:val="20"/>
              </w:rPr>
              <w:t xml:space="preserve">Status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Open / Closed / Superseded. Superseded entries link to the superseding ID.</w:t>
            </w:r>
          </w:p>
        </w:tc>
      </w:tr>
    </w:tbl>
    <w:p>
      <w:pPr>
        <w:pStyle w:val="Heading1"/>
        <w:spacing w:after="160" w:before="360"/>
      </w:pPr>
      <w:r>
        <w:rPr>
          <w:b/>
          <w:bCs/>
          <w:color w:val="1F3864"/>
          <w:sz w:val="30"/>
          <w:szCs w:val="30"/>
        </w:rPr>
        <w:t xml:space="preserve">B.3 Worked Examples</w:t>
      </w:r>
    </w:p>
    <w:p>
      <w:pPr>
        <w:spacing w:after="80"/>
      </w:pPr>
      <w:r>
        <w:rPr>
          <w:i/>
          <w:iCs/>
          <w:color w:val="5A5A66"/>
          <w:sz w:val="20"/>
          <w:szCs w:val="20"/>
        </w:rPr>
        <w:t xml:space="preserve">Three illustrative decisions showing how the template is filled in. Use these as the reference style for new entries.</w:t>
      </w:r>
    </w:p>
    <w:p>
      <w:pPr>
        <w:pStyle w:val="Heading2"/>
        <w:spacing w:after="120" w:before="240"/>
      </w:pPr>
      <w:r>
        <w:rPr>
          <w:b/>
          <w:bCs/>
          <w:color w:val="0F1F44"/>
          <w:sz w:val="24"/>
          <w:szCs w:val="24"/>
        </w:rPr>
        <w:t xml:space="preserve">Example 1 — Tier 2 approval</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Field</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Value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Decision ID</w:t>
            </w:r>
          </w:p>
        </w:tc>
        <w:tc>
          <w:tcPr>
            <w:tcMar>
              <w:top w:type="dxa" w:w="80"/>
              <w:left w:type="dxa" w:w="120"/>
              <w:bottom w:type="dxa" w:w="80"/>
              <w:right w:type="dxa" w:w="120"/>
            </w:tcMar>
          </w:tcPr>
          <w:p>
            <w:pPr>
              <w:spacing w:after="40"/>
              <w:jc w:val="left"/>
            </w:pPr>
            <w:r>
              <w:rPr>
                <w:b w:val="false"/>
                <w:bCs w:val="false"/>
                <w:color w:val="1B1B1F"/>
                <w:sz w:val="20"/>
                <w:szCs w:val="20"/>
              </w:rPr>
              <w:t xml:space="preserve">AICD-2026-014</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2026-06-09</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Type</w:t>
            </w:r>
          </w:p>
        </w:tc>
        <w:tc>
          <w:tcPr>
            <w:tcMar>
              <w:top w:type="dxa" w:w="80"/>
              <w:left w:type="dxa" w:w="120"/>
              <w:bottom w:type="dxa" w:w="80"/>
              <w:right w:type="dxa" w:w="120"/>
            </w:tcMar>
          </w:tcPr>
          <w:p>
            <w:pPr>
              <w:spacing w:after="40"/>
              <w:jc w:val="left"/>
            </w:pPr>
            <w:r>
              <w:rPr>
                <w:b w:val="false"/>
                <w:bCs w:val="false"/>
                <w:color w:val="1B1B1F"/>
                <w:sz w:val="20"/>
                <w:szCs w:val="20"/>
              </w:rPr>
              <w:t xml:space="preserve">Approve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Subject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 2 approval — Contact-centre copilot pilot, Retail Operations</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Use-case ID</w:t>
            </w:r>
          </w:p>
        </w:tc>
        <w:tc>
          <w:tcPr>
            <w:tcMar>
              <w:top w:type="dxa" w:w="80"/>
              <w:left w:type="dxa" w:w="120"/>
              <w:bottom w:type="dxa" w:w="80"/>
              <w:right w:type="dxa" w:w="120"/>
            </w:tcMar>
          </w:tcPr>
          <w:p>
            <w:pPr>
              <w:spacing w:after="40"/>
              <w:jc w:val="left"/>
            </w:pPr>
            <w:r>
              <w:rPr>
                <w:b w:val="false"/>
                <w:bCs w:val="false"/>
                <w:color w:val="1B1B1F"/>
                <w:sz w:val="20"/>
                <w:szCs w:val="20"/>
              </w:rPr>
              <w:t xml:space="preserve">UC-2026-007</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Proposer</w:t>
            </w:r>
          </w:p>
        </w:tc>
        <w:tc>
          <w:tcPr>
            <w:tcMar>
              <w:top w:type="dxa" w:w="80"/>
              <w:left w:type="dxa" w:w="120"/>
              <w:bottom w:type="dxa" w:w="80"/>
              <w:right w:type="dxa" w:w="120"/>
            </w:tcMar>
          </w:tcPr>
          <w:p>
            <w:pPr>
              <w:spacing w:after="40"/>
              <w:jc w:val="left"/>
            </w:pPr>
            <w:r>
              <w:rPr>
                <w:b w:val="false"/>
                <w:bCs w:val="false"/>
                <w:color w:val="1B1B1F"/>
                <w:sz w:val="20"/>
                <w:szCs w:val="20"/>
              </w:rPr>
              <w:t xml:space="preserve">Head of Retail Operations (sponsor); Head of AI &amp; Automation (presenting)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Vote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For 7, against 0, abstain 0 (Head of Engineering absent)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Conflicts</w:t>
            </w:r>
          </w:p>
        </w:tc>
        <w:tc>
          <w:tcPr>
            <w:tcMar>
              <w:top w:type="dxa" w:w="80"/>
              <w:left w:type="dxa" w:w="120"/>
              <w:bottom w:type="dxa" w:w="80"/>
              <w:right w:type="dxa" w:w="120"/>
            </w:tcMar>
          </w:tcPr>
          <w:p>
            <w:pPr>
              <w:spacing w:after="40"/>
              <w:jc w:val="left"/>
            </w:pPr>
            <w:r>
              <w:rPr>
                <w:b w:val="false"/>
                <w:bCs w:val="false"/>
                <w:color w:val="1B1B1F"/>
                <w:sz w:val="20"/>
                <w:szCs w:val="20"/>
              </w:rPr>
              <w:t xml:space="preserve">None declared.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Rationale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 case meets Tier 2 criteria — advisory to agent, no commitment of the bank, baseline data is governed (RAG over curated product and policy content). Pilot scope (15–25 agents, 8 weeks) is reversible. Pre-baseline of AHT and FCR captured. Aligns with Year-1 value proof commitment in 90-Day Plan §2.2.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Conditions</w:t>
            </w:r>
          </w:p>
        </w:tc>
        <w:tc>
          <w:tcPr>
            <w:tcMar>
              <w:top w:type="dxa" w:w="80"/>
              <w:left w:type="dxa" w:w="120"/>
              <w:bottom w:type="dxa" w:w="80"/>
              <w:right w:type="dxa" w:w="120"/>
            </w:tcMar>
          </w:tcPr>
          <w:p>
            <w:pPr>
              <w:spacing w:after="40"/>
              <w:jc w:val="left"/>
            </w:pPr>
            <w:r>
              <w:rPr>
                <w:b w:val="false"/>
                <w:bCs w:val="false"/>
                <w:color w:val="1B1B1F"/>
                <w:sz w:val="20"/>
                <w:szCs w:val="20"/>
              </w:rPr>
              <w:t xml:space="preserve">(1) Weekly accuracy audit of citations by QA team (owner: Retail Ops Lead, ongoing); (2) Sentinel detection rule for data leak via Copilot in scope (owner: SOC, by Day 14); (3) Day-60 evidence pack to Council (owner: Head of AI, by 2026-08-09).</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Effective 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2026-06-09</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Review date</w:t>
            </w:r>
          </w:p>
        </w:tc>
        <w:tc>
          <w:tcPr>
            <w:tcMar>
              <w:top w:type="dxa" w:w="80"/>
              <w:left w:type="dxa" w:w="120"/>
              <w:bottom w:type="dxa" w:w="80"/>
              <w:right w:type="dxa" w:w="120"/>
            </w:tcMar>
          </w:tcPr>
          <w:p>
            <w:pPr>
              <w:spacing w:after="40"/>
              <w:jc w:val="left"/>
            </w:pPr>
            <w:r>
              <w:rPr>
                <w:b w:val="false"/>
                <w:bCs w:val="false"/>
                <w:color w:val="1B1B1F"/>
                <w:sz w:val="20"/>
                <w:szCs w:val="20"/>
              </w:rPr>
              <w:t xml:space="preserve">2027-06-09 (annual)</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Related artefacts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UC-2026-007 use-case pack; DPIA-2026-005; SOC ticket SEC-7421; intake form attached.</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Communicated to</w:t>
            </w:r>
          </w:p>
        </w:tc>
        <w:tc>
          <w:tcPr>
            <w:tcMar>
              <w:top w:type="dxa" w:w="80"/>
              <w:left w:type="dxa" w:w="120"/>
              <w:bottom w:type="dxa" w:w="80"/>
              <w:right w:type="dxa" w:w="120"/>
            </w:tcMar>
          </w:tcPr>
          <w:p>
            <w:pPr>
              <w:spacing w:after="40"/>
              <w:jc w:val="left"/>
            </w:pPr>
            <w:r>
              <w:rPr>
                <w:b w:val="false"/>
                <w:bCs w:val="false"/>
                <w:color w:val="1B1B1F"/>
                <w:sz w:val="20"/>
                <w:szCs w:val="20"/>
              </w:rPr>
              <w:t xml:space="preserve">ExCo (June update); Retail Ops town hall; intranet AI hub.</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Status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Open</w:t>
            </w:r>
          </w:p>
        </w:tc>
      </w:tr>
    </w:tbl>
    <w:p>
      <w:pPr>
        <w:pStyle w:val="Heading2"/>
        <w:spacing w:after="120" w:before="240"/>
      </w:pPr>
      <w:r>
        <w:rPr>
          <w:b/>
          <w:bCs/>
          <w:color w:val="0F1F44"/>
          <w:sz w:val="24"/>
          <w:szCs w:val="24"/>
        </w:rPr>
        <w:t xml:space="preserve">Example 2 — Tier 1 recommendation to ExCo</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Field</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Value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Decision ID</w:t>
            </w:r>
          </w:p>
        </w:tc>
        <w:tc>
          <w:tcPr>
            <w:tcMar>
              <w:top w:type="dxa" w:w="80"/>
              <w:left w:type="dxa" w:w="120"/>
              <w:bottom w:type="dxa" w:w="80"/>
              <w:right w:type="dxa" w:w="120"/>
            </w:tcMar>
          </w:tcPr>
          <w:p>
            <w:pPr>
              <w:spacing w:after="40"/>
              <w:jc w:val="left"/>
            </w:pPr>
            <w:r>
              <w:rPr>
                <w:b w:val="false"/>
                <w:bCs w:val="false"/>
                <w:color w:val="1B1B1F"/>
                <w:sz w:val="20"/>
                <w:szCs w:val="20"/>
              </w:rPr>
              <w:t xml:space="preserve">AICD-2026-019</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2026-09-08</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Type</w:t>
            </w:r>
          </w:p>
        </w:tc>
        <w:tc>
          <w:tcPr>
            <w:tcMar>
              <w:top w:type="dxa" w:w="80"/>
              <w:left w:type="dxa" w:w="120"/>
              <w:bottom w:type="dxa" w:w="80"/>
              <w:right w:type="dxa" w:w="120"/>
            </w:tcMar>
          </w:tcPr>
          <w:p>
            <w:pPr>
              <w:spacing w:after="40"/>
              <w:jc w:val="left"/>
            </w:pPr>
            <w:r>
              <w:rPr>
                <w:b w:val="false"/>
                <w:bCs w:val="false"/>
                <w:color w:val="1B1B1F"/>
                <w:sz w:val="20"/>
                <w:szCs w:val="20"/>
              </w:rPr>
              <w:t xml:space="preserve">Recommend-to-ExCo</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Subject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 1 recommendation — Generative reasoning component for AML alert triage (advisory)</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Use-case ID</w:t>
            </w:r>
          </w:p>
        </w:tc>
        <w:tc>
          <w:tcPr>
            <w:tcMar>
              <w:top w:type="dxa" w:w="80"/>
              <w:left w:type="dxa" w:w="120"/>
              <w:bottom w:type="dxa" w:w="80"/>
              <w:right w:type="dxa" w:w="120"/>
            </w:tcMar>
          </w:tcPr>
          <w:p>
            <w:pPr>
              <w:spacing w:after="40"/>
              <w:jc w:val="left"/>
            </w:pPr>
            <w:r>
              <w:rPr>
                <w:b w:val="false"/>
                <w:bCs w:val="false"/>
                <w:color w:val="1B1B1F"/>
                <w:sz w:val="20"/>
                <w:szCs w:val="20"/>
              </w:rPr>
              <w:t xml:space="preserve">UC-2026-022</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T1</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Proposer</w:t>
            </w:r>
          </w:p>
        </w:tc>
        <w:tc>
          <w:tcPr>
            <w:tcMar>
              <w:top w:type="dxa" w:w="80"/>
              <w:left w:type="dxa" w:w="120"/>
              <w:bottom w:type="dxa" w:w="80"/>
              <w:right w:type="dxa" w:w="120"/>
            </w:tcMar>
          </w:tcPr>
          <w:p>
            <w:pPr>
              <w:spacing w:after="40"/>
              <w:jc w:val="left"/>
            </w:pPr>
            <w:r>
              <w:rPr>
                <w:b w:val="false"/>
                <w:bCs w:val="false"/>
                <w:color w:val="1B1B1F"/>
                <w:sz w:val="20"/>
                <w:szCs w:val="20"/>
              </w:rPr>
              <w:t xml:space="preserve">Head of Financial Crime Compliance (sponsor); Model Risk Lead (presenting)</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Vote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Unanimous (7 voting members present); recommendation referred to ExCo.</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Conflicts</w:t>
            </w:r>
          </w:p>
        </w:tc>
        <w:tc>
          <w:tcPr>
            <w:tcMar>
              <w:top w:type="dxa" w:w="80"/>
              <w:left w:type="dxa" w:w="120"/>
              <w:bottom w:type="dxa" w:w="80"/>
              <w:right w:type="dxa" w:w="120"/>
            </w:tcMar>
          </w:tcPr>
          <w:p>
            <w:pPr>
              <w:spacing w:after="40"/>
              <w:jc w:val="left"/>
            </w:pPr>
            <w:r>
              <w:rPr>
                <w:b w:val="false"/>
                <w:bCs w:val="false"/>
                <w:color w:val="1B1B1F"/>
                <w:sz w:val="20"/>
                <w:szCs w:val="20"/>
              </w:rPr>
              <w:t xml:space="preserve">None.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Rationale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Use case is T1 because outputs influence regulatory-grade decisions, even though final adjudication remains human. Independent validation pack reviewed (Validator: Firm X, dated 2026-08-21); model risk score acceptable. Council recommends approval to ExCo subject to the conditions below; additional regulator briefing to SARB lead supervisor recommended before go-live.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Conditions</w:t>
            </w:r>
          </w:p>
        </w:tc>
        <w:tc>
          <w:tcPr>
            <w:tcMar>
              <w:top w:type="dxa" w:w="80"/>
              <w:left w:type="dxa" w:w="120"/>
              <w:bottom w:type="dxa" w:w="80"/>
              <w:right w:type="dxa" w:w="120"/>
            </w:tcMar>
          </w:tcPr>
          <w:p>
            <w:pPr>
              <w:spacing w:after="40"/>
              <w:jc w:val="left"/>
            </w:pPr>
            <w:r>
              <w:rPr>
                <w:b w:val="false"/>
                <w:bCs w:val="false"/>
                <w:color w:val="1B1B1F"/>
                <w:sz w:val="20"/>
                <w:szCs w:val="20"/>
              </w:rPr>
              <w:t xml:space="preserve">(1) ExCo approval required before pilot start; (2) Quarterly fairness audit on demographic disparity (owner: Model Risk, ongoing); (3) Pre-go-live SARB lead briefing (owner: GC + Compliance, before pilot); (4) Pause-and-revert plan documented and rehearsed.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Effective 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Subject to ExCo approval (target 2026-09-22)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Review date</w:t>
            </w:r>
          </w:p>
        </w:tc>
        <w:tc>
          <w:tcPr>
            <w:tcMar>
              <w:top w:type="dxa" w:w="80"/>
              <w:left w:type="dxa" w:w="120"/>
              <w:bottom w:type="dxa" w:w="80"/>
              <w:right w:type="dxa" w:w="120"/>
            </w:tcMar>
          </w:tcPr>
          <w:p>
            <w:pPr>
              <w:spacing w:after="40"/>
              <w:jc w:val="left"/>
            </w:pPr>
            <w:r>
              <w:rPr>
                <w:b w:val="false"/>
                <w:bCs w:val="false"/>
                <w:color w:val="1B1B1F"/>
                <w:sz w:val="20"/>
                <w:szCs w:val="20"/>
              </w:rPr>
              <w:t xml:space="preserve">6 months from go-live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Related artefacts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UC-2026-022 pack; DPIA-2026-011; Validator report VR-2026-003; risk assessment RA-2026-014.</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Communicated to</w:t>
            </w:r>
          </w:p>
        </w:tc>
        <w:tc>
          <w:tcPr>
            <w:tcMar>
              <w:top w:type="dxa" w:w="80"/>
              <w:left w:type="dxa" w:w="120"/>
              <w:bottom w:type="dxa" w:w="80"/>
              <w:right w:type="dxa" w:w="120"/>
            </w:tcMar>
          </w:tcPr>
          <w:p>
            <w:pPr>
              <w:spacing w:after="40"/>
              <w:jc w:val="left"/>
            </w:pPr>
            <w:r>
              <w:rPr>
                <w:b w:val="false"/>
                <w:bCs w:val="false"/>
                <w:color w:val="1B1B1F"/>
                <w:sz w:val="20"/>
                <w:szCs w:val="20"/>
              </w:rPr>
              <w:t xml:space="preserve">ExCo (referred); BRC (Q3 deep-review); Compliance &amp; Financial Crime leadership.</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Status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Open — pending ExCo</w:t>
            </w:r>
          </w:p>
        </w:tc>
      </w:tr>
    </w:tbl>
    <w:p>
      <w:pPr>
        <w:pStyle w:val="Heading2"/>
        <w:spacing w:after="120" w:before="240"/>
      </w:pPr>
      <w:r>
        <w:rPr>
          <w:b/>
          <w:bCs/>
          <w:color w:val="0F1F44"/>
          <w:sz w:val="24"/>
          <w:szCs w:val="24"/>
        </w:rPr>
        <w:t xml:space="preserve">Example 3 — Suspension on incident</w:t>
      </w:r>
    </w:p>
    <w:tbl>
      <w:tblPr>
        <w:tblW w:type="pct" w:w="100%"/>
        <w:tblBorders>
          <w:top w:val="single" w:color="D9D9D9" w:sz="4"/>
          <w:left w:val="single" w:color="D9D9D9" w:sz="4"/>
          <w:bottom w:val="single" w:color="D9D9D9" w:sz="4"/>
          <w:right w:val="single" w:color="D9D9D9" w:sz="4"/>
          <w:insideH w:val="single" w:color="D9D9D9" w:sz="2"/>
          <w:insideV w:val="single" w:color="D9D9D9" w:sz="2"/>
        </w:tblBorders>
      </w:tblPr>
      <w:tblGrid>
        <w:gridCol w:w="100"/>
        <w:gridCol w:w="100"/>
      </w:tblGrid>
      <w:tr>
        <w:trPr>
          <w:tblHeader/>
        </w:trPr>
        <w:tc>
          <w:tcPr>
            <w:tcW w:type="pct" w:w="26%"/>
            <w:shd w:fill="1F3864" w:color="auto" w:val="clear"/>
            <w:tcMar>
              <w:top w:type="dxa" w:w="80"/>
              <w:left w:type="dxa" w:w="120"/>
              <w:bottom w:type="dxa" w:w="80"/>
              <w:right w:type="dxa" w:w="120"/>
            </w:tcMar>
          </w:tcPr>
          <w:p>
            <w:pPr>
              <w:spacing w:after="40"/>
              <w:jc w:val="left"/>
            </w:pPr>
            <w:r>
              <w:rPr>
                <w:b/>
                <w:bCs/>
                <w:color w:val="FFFFFF"/>
                <w:sz w:val="20"/>
                <w:szCs w:val="20"/>
              </w:rPr>
              <w:t xml:space="preserve">Field</w:t>
            </w:r>
          </w:p>
        </w:tc>
        <w:tc>
          <w:tcPr>
            <w:tcW w:type="pct" w:w="74%"/>
            <w:shd w:fill="1F3864" w:color="auto" w:val="clear"/>
            <w:tcMar>
              <w:top w:type="dxa" w:w="80"/>
              <w:left w:type="dxa" w:w="120"/>
              <w:bottom w:type="dxa" w:w="80"/>
              <w:right w:type="dxa" w:w="120"/>
            </w:tcMar>
          </w:tcPr>
          <w:p>
            <w:pPr>
              <w:spacing w:after="40"/>
              <w:jc w:val="left"/>
            </w:pPr>
            <w:r>
              <w:rPr>
                <w:b/>
                <w:bCs/>
                <w:color w:val="FFFFFF"/>
                <w:sz w:val="20"/>
                <w:szCs w:val="20"/>
              </w:rPr>
              <w:t xml:space="preserve">Value</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Decision ID</w:t>
            </w:r>
          </w:p>
        </w:tc>
        <w:tc>
          <w:tcPr>
            <w:tcMar>
              <w:top w:type="dxa" w:w="80"/>
              <w:left w:type="dxa" w:w="120"/>
              <w:bottom w:type="dxa" w:w="80"/>
              <w:right w:type="dxa" w:w="120"/>
            </w:tcMar>
          </w:tcPr>
          <w:p>
            <w:pPr>
              <w:spacing w:after="40"/>
              <w:jc w:val="left"/>
            </w:pPr>
            <w:r>
              <w:rPr>
                <w:b w:val="false"/>
                <w:bCs w:val="false"/>
                <w:color w:val="1B1B1F"/>
                <w:sz w:val="20"/>
                <w:szCs w:val="20"/>
              </w:rPr>
              <w:t xml:space="preserve">AICD-2026-026</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2026-11-04 (emergency session)</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Type</w:t>
            </w:r>
          </w:p>
        </w:tc>
        <w:tc>
          <w:tcPr>
            <w:tcMar>
              <w:top w:type="dxa" w:w="80"/>
              <w:left w:type="dxa" w:w="120"/>
              <w:bottom w:type="dxa" w:w="80"/>
              <w:right w:type="dxa" w:w="120"/>
            </w:tcMar>
          </w:tcPr>
          <w:p>
            <w:pPr>
              <w:spacing w:after="40"/>
              <w:jc w:val="left"/>
            </w:pPr>
            <w:r>
              <w:rPr>
                <w:b w:val="false"/>
                <w:bCs w:val="false"/>
                <w:color w:val="1B1B1F"/>
                <w:sz w:val="20"/>
                <w:szCs w:val="20"/>
              </w:rPr>
              <w:t xml:space="preserve">Suspend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Subject</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Immediate suspension of Citizen-built agent 'TenancyDocs Bot' (Copilot Studio) following oversharing incident INC-2026-091</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Use-case ID</w:t>
            </w:r>
          </w:p>
        </w:tc>
        <w:tc>
          <w:tcPr>
            <w:tcMar>
              <w:top w:type="dxa" w:w="80"/>
              <w:left w:type="dxa" w:w="120"/>
              <w:bottom w:type="dxa" w:w="80"/>
              <w:right w:type="dxa" w:w="120"/>
            </w:tcMar>
          </w:tcPr>
          <w:p>
            <w:pPr>
              <w:spacing w:after="40"/>
              <w:jc w:val="left"/>
            </w:pPr>
            <w:r>
              <w:rPr>
                <w:b w:val="false"/>
                <w:bCs w:val="false"/>
                <w:color w:val="1B1B1F"/>
                <w:sz w:val="20"/>
                <w:szCs w:val="20"/>
              </w:rPr>
              <w:t xml:space="preserve">UC-2026-018</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Tier</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T2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Proposer</w:t>
            </w:r>
          </w:p>
        </w:tc>
        <w:tc>
          <w:tcPr>
            <w:tcMar>
              <w:top w:type="dxa" w:w="80"/>
              <w:left w:type="dxa" w:w="120"/>
              <w:bottom w:type="dxa" w:w="80"/>
              <w:right w:type="dxa" w:w="120"/>
            </w:tcMar>
          </w:tcPr>
          <w:p>
            <w:pPr>
              <w:spacing w:after="40"/>
              <w:jc w:val="left"/>
            </w:pPr>
            <w:r>
              <w:rPr>
                <w:b w:val="false"/>
                <w:bCs w:val="false"/>
                <w:color w:val="1B1B1F"/>
                <w:sz w:val="20"/>
                <w:szCs w:val="20"/>
              </w:rPr>
              <w:t xml:space="preserve">CISO</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Vote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For 5, against 0, abstain 0 (emergency-session quorum met)</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Conflicts</w:t>
            </w:r>
          </w:p>
        </w:tc>
        <w:tc>
          <w:tcPr>
            <w:tcMar>
              <w:top w:type="dxa" w:w="80"/>
              <w:left w:type="dxa" w:w="120"/>
              <w:bottom w:type="dxa" w:w="80"/>
              <w:right w:type="dxa" w:w="120"/>
            </w:tcMar>
          </w:tcPr>
          <w:p>
            <w:pPr>
              <w:spacing w:after="40"/>
              <w:jc w:val="left"/>
            </w:pPr>
            <w:r>
              <w:rPr>
                <w:b w:val="false"/>
                <w:bCs w:val="false"/>
                <w:color w:val="1B1B1F"/>
                <w:sz w:val="20"/>
                <w:szCs w:val="20"/>
              </w:rPr>
              <w:t xml:space="preserve">None.</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Rationale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Confirmed P2 incident — agent surfaced internal tenancy review documents to one out-of-scope user role due to misconfigured Power Platform DLP. Material exposure low, but root cause indicates a control gap (G.02). Suspension for 14 days while DLP policy is corrected and the agent is re-tested. Suspension is the proportionate response per Playbook PB-1 / PB-3.</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Conditions</w:t>
            </w:r>
          </w:p>
        </w:tc>
        <w:tc>
          <w:tcPr>
            <w:tcMar>
              <w:top w:type="dxa" w:w="80"/>
              <w:left w:type="dxa" w:w="120"/>
              <w:bottom w:type="dxa" w:w="80"/>
              <w:right w:type="dxa" w:w="120"/>
            </w:tcMar>
          </w:tcPr>
          <w:p>
            <w:pPr>
              <w:spacing w:after="40"/>
              <w:jc w:val="left"/>
            </w:pPr>
            <w:r>
              <w:rPr>
                <w:b w:val="false"/>
                <w:bCs w:val="false"/>
                <w:color w:val="1B1B1F"/>
                <w:sz w:val="20"/>
                <w:szCs w:val="20"/>
              </w:rPr>
              <w:t xml:space="preserve">(1) Suspension effective immediately, communicated to Tenancy team; (2) Power Platform DLP for connector class 'Internal Document Repository' restricted to Business-only by Day 3 (owner: PP Admin); (3) Agent re-test and Council re-confirmation by Day 14 (owner: Citizen Dev WG); (4) PIR within 5 business days (owner: AI &amp; Automation).</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Effective date</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2026-11-04 09:00</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Review date</w:t>
            </w:r>
          </w:p>
        </w:tc>
        <w:tc>
          <w:tcPr>
            <w:tcMar>
              <w:top w:type="dxa" w:w="80"/>
              <w:left w:type="dxa" w:w="120"/>
              <w:bottom w:type="dxa" w:w="80"/>
              <w:right w:type="dxa" w:w="120"/>
            </w:tcMar>
          </w:tcPr>
          <w:p>
            <w:pPr>
              <w:spacing w:after="40"/>
              <w:jc w:val="left"/>
            </w:pPr>
            <w:r>
              <w:rPr>
                <w:b w:val="false"/>
                <w:bCs w:val="false"/>
                <w:color w:val="1B1B1F"/>
                <w:sz w:val="20"/>
                <w:szCs w:val="20"/>
              </w:rPr>
              <w:t xml:space="preserve">2026-11-18 (re-confirmation)</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Related artefacts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INC-2026-091; UC-2026-018; PIR-2026-091; CR change CHG-7892.</w:t>
            </w:r>
          </w:p>
        </w:tc>
      </w:tr>
      <w:tr>
        <w:tc>
          <w:tcPr>
            <w:tcMar>
              <w:top w:type="dxa" w:w="80"/>
              <w:left w:type="dxa" w:w="120"/>
              <w:bottom w:type="dxa" w:w="80"/>
              <w:right w:type="dxa" w:w="120"/>
            </w:tcMar>
          </w:tcPr>
          <w:p>
            <w:pPr>
              <w:spacing w:after="40"/>
              <w:jc w:val="left"/>
            </w:pPr>
            <w:r>
              <w:rPr>
                <w:b w:val="false"/>
                <w:bCs w:val="false"/>
                <w:color w:val="1B1B1F"/>
                <w:sz w:val="20"/>
                <w:szCs w:val="20"/>
              </w:rPr>
              <w:t xml:space="preserve">Communicated to</w:t>
            </w:r>
          </w:p>
        </w:tc>
        <w:tc>
          <w:tcPr>
            <w:tcMar>
              <w:top w:type="dxa" w:w="80"/>
              <w:left w:type="dxa" w:w="120"/>
              <w:bottom w:type="dxa" w:w="80"/>
              <w:right w:type="dxa" w:w="120"/>
            </w:tcMar>
          </w:tcPr>
          <w:p>
            <w:pPr>
              <w:spacing w:after="40"/>
              <w:jc w:val="left"/>
            </w:pPr>
            <w:r>
              <w:rPr>
                <w:b w:val="false"/>
                <w:bCs w:val="false"/>
                <w:color w:val="1B1B1F"/>
                <w:sz w:val="20"/>
                <w:szCs w:val="20"/>
              </w:rPr>
              <w:t xml:space="preserve">ExCo (notification); Tenancy Operations; intranet AI hub (lessons brief once PIR closed).</w:t>
            </w:r>
          </w:p>
        </w:tc>
      </w:tr>
      <w:tr>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Status</w:t>
            </w:r>
          </w:p>
        </w:tc>
        <w:tc>
          <w:tcPr>
            <w:shd w:fill="F3F6FC" w:color="auto" w:val="clear"/>
            <w:tcMar>
              <w:top w:type="dxa" w:w="80"/>
              <w:left w:type="dxa" w:w="120"/>
              <w:bottom w:type="dxa" w:w="80"/>
              <w:right w:type="dxa" w:w="120"/>
            </w:tcMar>
          </w:tcPr>
          <w:p>
            <w:pPr>
              <w:spacing w:after="40"/>
              <w:jc w:val="left"/>
            </w:pPr>
            <w:r>
              <w:rPr>
                <w:b w:val="false"/>
                <w:bCs w:val="false"/>
                <w:color w:val="1B1B1F"/>
                <w:sz w:val="20"/>
                <w:szCs w:val="20"/>
              </w:rPr>
              <w:t xml:space="preserve">Closed (re-confirmed at 2026-11-18 standing meeting; superseded by AICD-2026-027)</w:t>
            </w:r>
          </w:p>
        </w:tc>
      </w:tr>
    </w:tbl>
    <w:p>
      <w:pPr>
        <w:pStyle w:val="Heading1"/>
        <w:spacing w:after="160" w:before="360"/>
      </w:pPr>
      <w:r>
        <w:rPr>
          <w:b/>
          <w:bCs/>
          <w:color w:val="1F3864"/>
          <w:sz w:val="30"/>
          <w:szCs w:val="30"/>
        </w:rPr>
        <w:t xml:space="preserve">B.4 Operating Notes</w:t>
      </w:r>
    </w:p>
    <w:p>
      <w:pPr>
        <w:pStyle w:val="ListParagraph"/>
        <w:numPr>
          <w:ilvl w:val="0"/>
          <w:numId w:val="2"/>
        </w:numPr>
        <w:spacing w:after="80" w:line="280"/>
      </w:pPr>
      <w:r>
        <w:t xml:space="preserve">The Decision Log is the source of truth. Where minutes and Decision Log diverge, the Log governs.</w:t>
      </w:r>
    </w:p>
    <w:p>
      <w:pPr>
        <w:pStyle w:val="ListParagraph"/>
        <w:numPr>
          <w:ilvl w:val="0"/>
          <w:numId w:val="2"/>
        </w:numPr>
        <w:spacing w:after="80" w:line="280"/>
      </w:pPr>
      <w:r>
        <w:t xml:space="preserve">Each entry is locked after the meeting at which the decision was confirmed. Edits become superseding entries (with cross-link) — the audit trail is preserved.</w:t>
      </w:r>
    </w:p>
    <w:p>
      <w:pPr>
        <w:pStyle w:val="ListParagraph"/>
        <w:numPr>
          <w:ilvl w:val="0"/>
          <w:numId w:val="2"/>
        </w:numPr>
        <w:spacing w:after="80" w:line="280"/>
      </w:pPr>
      <w:r>
        <w:t xml:space="preserve">Entries are written for the future reader. Avoid acronyms that are not defined in the Framework or this Charter.</w:t>
      </w:r>
    </w:p>
    <w:p>
      <w:pPr>
        <w:pStyle w:val="ListParagraph"/>
        <w:numPr>
          <w:ilvl w:val="0"/>
          <w:numId w:val="2"/>
        </w:numPr>
        <w:spacing w:after="80" w:line="280"/>
      </w:pPr>
      <w:r>
        <w:t xml:space="preserve">The Log is exported to PDF quarterly, attached to the BRC pack and stored in the Council artefact library.</w:t>
      </w:r>
    </w:p>
    <w:p>
      <w:pPr>
        <w:pStyle w:val="ListParagraph"/>
        <w:numPr>
          <w:ilvl w:val="0"/>
          <w:numId w:val="2"/>
        </w:numPr>
        <w:spacing w:after="80" w:line="280"/>
      </w:pPr>
      <w:r>
        <w:t xml:space="preserve">The Log is reviewed annually by Internal Audit as part of the Council performance review (§14).</w:t>
      </w:r>
    </w:p>
    <w:p>
      <w:pPr>
        <w:pStyle w:val="Heading1"/>
        <w:spacing w:after="160" w:before="360"/>
      </w:pPr>
      <w:r>
        <w:rPr>
          <w:b/>
          <w:bCs/>
          <w:color w:val="1F3864"/>
          <w:sz w:val="30"/>
          <w:szCs w:val="30"/>
        </w:rPr>
        <w:t xml:space="preserve">Approval and Issue</w:t>
      </w:r>
    </w:p>
    <w:p>
      <w:pPr>
        <w:spacing w:after="120" w:line="300"/>
      </w:pPr>
      <w:r>
        <w:t xml:space="preserve">This Charter is approved by the Executive Committee on the date below. It supersedes any prior AI Council terms of reference.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Mar>
              <w:top w:type="dxa" w:w="80"/>
              <w:left w:type="dxa" w:w="120"/>
              <w:bottom w:type="dxa" w:w="80"/>
              <w:right w:type="dxa" w:w="120"/>
            </w:tcMar>
          </w:tcPr>
          <w:p>
            <w:pPr>
              <w:spacing w:after="40"/>
              <w:jc w:val="left"/>
            </w:pPr>
            <w:r>
              <w:rPr>
                <w:b/>
                <w:bCs/>
                <w:color w:val="1B1B1F"/>
                <w:sz w:val="20"/>
                <w:szCs w:val="20"/>
              </w:rPr>
              <w:t xml:space="preserve">Chief Executive Officer</w:t>
            </w:r>
          </w:p>
        </w:tc>
        <w:tc>
          <w:tcPr>
            <w:tcW w:type="pct" w:w="50%"/>
            <w:tcMar>
              <w:top w:type="dxa" w:w="80"/>
              <w:left w:type="dxa" w:w="120"/>
              <w:bottom w:type="dxa" w:w="80"/>
              <w:right w:type="dxa" w:w="120"/>
            </w:tcMar>
          </w:tcPr>
          <w:p>
            <w:pPr>
              <w:spacing w:after="40"/>
              <w:jc w:val="left"/>
            </w:pPr>
            <w:r>
              <w:rPr>
                <w:b w:val="false"/>
                <w:bCs w:val="false"/>
                <w:color w:val="5A5A66"/>
                <w:sz w:val="20"/>
                <w:szCs w:val="20"/>
              </w:rPr>
              <w:t xml:space="preserve">Signature: ___________________________</w:t>
            </w:r>
          </w:p>
        </w:tc>
        <w:tc>
          <w:tcPr>
            <w:tcW w:type="pct" w:w="20%"/>
            <w:tcMar>
              <w:top w:type="dxa" w:w="80"/>
              <w:left w:type="dxa" w:w="120"/>
              <w:bottom w:type="dxa" w:w="80"/>
              <w:right w:type="dxa" w:w="120"/>
            </w:tcMar>
          </w:tcPr>
          <w:p>
            <w:pPr>
              <w:spacing w:after="40"/>
              <w:jc w:val="left"/>
            </w:pPr>
            <w:r>
              <w:rPr>
                <w:b w:val="false"/>
                <w:bCs w:val="false"/>
                <w:color w:val="5A5A66"/>
                <w:sz w:val="20"/>
                <w:szCs w:val="20"/>
              </w:rPr>
              <w:t xml:space="preserve">Date: ____________</w:t>
            </w:r>
          </w:p>
        </w:tc>
      </w:tr>
      <w:tr>
        <w:tc>
          <w:tcPr>
            <w:tcW w:type="pct" w:w="30%"/>
            <w:tcMar>
              <w:top w:type="dxa" w:w="80"/>
              <w:left w:type="dxa" w:w="120"/>
              <w:bottom w:type="dxa" w:w="80"/>
              <w:right w:type="dxa" w:w="120"/>
            </w:tcMar>
          </w:tcPr>
          <w:p>
            <w:pPr>
              <w:spacing w:after="40"/>
              <w:jc w:val="left"/>
            </w:pPr>
            <w:r>
              <w:rPr>
                <w:b/>
                <w:bCs/>
                <w:color w:val="1B1B1F"/>
                <w:sz w:val="20"/>
                <w:szCs w:val="20"/>
              </w:rPr>
              <w:t xml:space="preserve">Head of AI &amp; Automation (Chair)</w:t>
            </w:r>
          </w:p>
        </w:tc>
        <w:tc>
          <w:tcPr>
            <w:tcW w:type="pct" w:w="50%"/>
            <w:tcMar>
              <w:top w:type="dxa" w:w="80"/>
              <w:left w:type="dxa" w:w="120"/>
              <w:bottom w:type="dxa" w:w="80"/>
              <w:right w:type="dxa" w:w="120"/>
            </w:tcMar>
          </w:tcPr>
          <w:p>
            <w:pPr>
              <w:spacing w:after="40"/>
              <w:jc w:val="left"/>
            </w:pPr>
            <w:r>
              <w:rPr>
                <w:b w:val="false"/>
                <w:bCs w:val="false"/>
                <w:color w:val="5A5A66"/>
                <w:sz w:val="20"/>
                <w:szCs w:val="20"/>
              </w:rPr>
              <w:t xml:space="preserve">Signature: ___________________________</w:t>
            </w:r>
          </w:p>
        </w:tc>
        <w:tc>
          <w:tcPr>
            <w:tcW w:type="pct" w:w="20%"/>
            <w:tcMar>
              <w:top w:type="dxa" w:w="80"/>
              <w:left w:type="dxa" w:w="120"/>
              <w:bottom w:type="dxa" w:w="80"/>
              <w:right w:type="dxa" w:w="120"/>
            </w:tcMar>
          </w:tcPr>
          <w:p>
            <w:pPr>
              <w:spacing w:after="40"/>
              <w:jc w:val="left"/>
            </w:pPr>
            <w:r>
              <w:rPr>
                <w:b w:val="false"/>
                <w:bCs w:val="false"/>
                <w:color w:val="5A5A66"/>
                <w:sz w:val="20"/>
                <w:szCs w:val="20"/>
              </w:rPr>
              <w:t xml:space="preserve">Date: ____________</w:t>
            </w:r>
          </w:p>
        </w:tc>
      </w:tr>
    </w:tbl>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66"/>
        <w:sz w:val="18"/>
        <w:szCs w:val="18"/>
      </w:rPr>
      <w:t xml:space="preserve">Page </w:t>
    </w:r>
    <w:r>
      <w:rPr>
        <w:color w:val="5A5A66"/>
        <w:sz w:val="18"/>
        <w:szCs w:val="18"/>
      </w:rPr>
      <w:fldChar w:fldCharType="begin"/>
      <w:instrText xml:space="preserve">PAGE</w:instrText>
      <w:fldChar w:fldCharType="separate"/>
      <w:fldChar w:fldCharType="end"/>
    </w:r>
    <w:r>
      <w:rPr>
        <w:color w:val="5A5A66"/>
        <w:sz w:val="18"/>
        <w:szCs w:val="18"/>
      </w:rPr>
      <w:t xml:space="preserve"> of </w:t>
    </w:r>
    <w:r>
      <w:rPr>
        <w:color w:val="5A5A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66"/>
        <w:sz w:val="18"/>
        <w:szCs w:val="18"/>
      </w:rPr>
      <w:t xml:space="preserve">AI Council Charter &amp; Decision Log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B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pPr>
      <w:spacing w:after="160" w:before="360"/>
    </w:pPr>
    <w:rPr>
      <w:rFonts w:ascii="Calibri" w:cs="Calibri" w:eastAsia="Calibri" w:hAnsi="Calibri"/>
      <w:b/>
      <w:bCs/>
      <w:color w:val="1F3864"/>
      <w:sz w:val="30"/>
      <w:szCs w:val="30"/>
    </w:rPr>
  </w:style>
  <w:style w:type="paragraph" w:styleId="Heading2">
    <w:name w:val="Heading 2"/>
    <w:basedOn w:val="Normal"/>
    <w:pPr>
      <w:spacing w:after="120" w:before="240"/>
    </w:pPr>
    <w:rPr>
      <w:rFonts w:ascii="Calibri" w:cs="Calibri" w:eastAsia="Calibri" w:hAnsi="Calibri"/>
      <w:b/>
      <w:bCs/>
      <w:color w:val="0F1F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Council Charter and Decision Log Template v1.0</dc:title>
  <dc:creator>Head of AI &amp; Automation</dc:creator>
  <cp:lastModifiedBy>Un-named</cp:lastModifiedBy>
  <cp:revision>1</cp:revision>
  <dcterms:created xsi:type="dcterms:W3CDTF">2026-04-24T01:14:55.870Z</dcterms:created>
  <dcterms:modified xsi:type="dcterms:W3CDTF">2026-04-24T01:14:55.870Z</dcterms:modified>
</cp:coreProperties>
</file>

<file path=docProps/custom.xml><?xml version="1.0" encoding="utf-8"?>
<Properties xmlns="http://schemas.openxmlformats.org/officeDocument/2006/custom-properties" xmlns:vt="http://schemas.openxmlformats.org/officeDocument/2006/docPropsVTypes"/>
</file>