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jc w:val="center"/>
      </w:pPr>
      <w:r>
        <w:rPr>
          <w:b/>
          <w:bCs/>
          <w:color w:val="1F3864"/>
          <w:sz w:val="44"/>
          <w:szCs w:val="44"/>
        </w:rPr>
        <w:t xml:space="preserve">AI Monitoring &amp; Incident Playbook</w:t>
      </w:r>
    </w:p>
    <w:p>
      <w:pPr>
        <w:spacing w:after="60"/>
        <w:jc w:val="center"/>
      </w:pPr>
      <w:r>
        <w:rPr>
          <w:b/>
          <w:bCs/>
          <w:color w:val="0F1F44"/>
          <w:sz w:val="24"/>
          <w:szCs w:val="24"/>
        </w:rPr>
        <w:t xml:space="preserve">How we detect, triage, contain and learn from AI incidents</w:t>
      </w:r>
    </w:p>
    <w:p>
      <w:pPr>
        <w:spacing w:after="40"/>
        <w:jc w:val="center"/>
      </w:pPr>
      <w:r>
        <w:rPr>
          <w:i/>
          <w:iCs/>
          <w:color w:val="5A5A66"/>
          <w:sz w:val="22"/>
          <w:szCs w:val="22"/>
        </w:rPr>
        <w:t xml:space="preserve">Fintech  •  Microsoft + AI Foundry  •  Africa</w:t>
      </w:r>
    </w:p>
    <w:p>
      <w:pPr>
        <w:spacing w:after="280"/>
        <w:jc w:val="center"/>
      </w:pPr>
      <w:r>
        <w:rPr>
          <w:color w:val="5A5A66"/>
          <w:sz w:val="20"/>
          <w:szCs w:val="20"/>
        </w:rPr>
        <w:t xml:space="preserve">Version 1.0  •  Owner: Head of AI &amp; Automation + CISO  •  Classification: Internal</w:t>
      </w:r>
    </w:p>
    <w:p>
      <w:pPr>
        <w:pBdr>
          <w:bottom w:val="single" w:color="D9D9D9" w:sz="8" w:space="1"/>
        </w:pBdr>
      </w:pPr>
    </w:p>
    <w:p>
      <w:pPr>
        <w:pStyle w:val="Heading1"/>
        <w:spacing w:after="160" w:before="360"/>
      </w:pPr>
      <w:r>
        <w:rPr>
          <w:b/>
          <w:bCs/>
          <w:color w:val="1F3864"/>
          <w:sz w:val="30"/>
          <w:szCs w:val="30"/>
        </w:rPr>
        <w:t xml:space="preserve">1. Purpose and Audience</w:t>
      </w:r>
    </w:p>
    <w:p>
      <w:pPr>
        <w:spacing w:after="120" w:line="300"/>
      </w:pPr>
      <w:r>
        <w:t xml:space="preserve">This Playbook is the operational guide for the SOC, the AI &amp; Automation team, and the AI Council Secretary on how AI-related events are detected, triaged, classified, contained and reviewed. It is the third document in the AI control set, sitting alongside the AI Governance Framework v1.0 (policy and accountability) and the AI Control Register v1.0 (controls inventory).</w:t>
      </w:r>
    </w:p>
    <w:p>
      <w:pPr>
        <w:spacing w:after="120" w:line="300"/>
      </w:pPr>
      <w:r>
        <w:t xml:space="preserve">It is not a customer-facing or staff-facing document. The AI Acceptable Use Policy v1.0 §10 is the staff-facing reporting guide; this Playbook is what happens after a report or alert lands.</w:t>
      </w:r>
    </w:p>
    <w:p>
      <w:pPr>
        <w:pStyle w:val="Heading1"/>
        <w:spacing w:after="160" w:before="360"/>
      </w:pPr>
      <w:r>
        <w:rPr>
          <w:b/>
          <w:bCs/>
          <w:color w:val="1F3864"/>
          <w:sz w:val="30"/>
          <w:szCs w:val="30"/>
        </w:rPr>
        <w:t xml:space="preserve">2. Roles and RACI</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gridCol w:w="100"/>
        <w:gridCol w:w="100"/>
      </w:tblGrid>
      <w:tr>
        <w:trPr>
          <w:tblHeader/>
        </w:trPr>
        <w:tc>
          <w:tcPr>
            <w:tcW w:type="pct" w:w="30%"/>
            <w:shd w:fill="1F3864" w:color="auto" w:val="clear"/>
            <w:tcMar>
              <w:top w:type="dxa" w:w="80"/>
              <w:left w:type="dxa" w:w="120"/>
              <w:bottom w:type="dxa" w:w="80"/>
              <w:right w:type="dxa" w:w="120"/>
            </w:tcMar>
          </w:tcPr>
          <w:p>
            <w:pPr>
              <w:spacing w:after="40"/>
              <w:jc w:val="left"/>
            </w:pPr>
            <w:r>
              <w:rPr>
                <w:b/>
                <w:bCs/>
                <w:color w:val="FFFFFF"/>
                <w:sz w:val="20"/>
                <w:szCs w:val="20"/>
              </w:rPr>
              <w:t xml:space="preserve">Activity</w:t>
            </w:r>
          </w:p>
        </w:tc>
        <w:tc>
          <w:tcPr>
            <w:tcW w:type="pct" w:w="18%"/>
            <w:shd w:fill="1F3864" w:color="auto" w:val="clear"/>
            <w:tcMar>
              <w:top w:type="dxa" w:w="80"/>
              <w:left w:type="dxa" w:w="120"/>
              <w:bottom w:type="dxa" w:w="80"/>
              <w:right w:type="dxa" w:w="120"/>
            </w:tcMar>
          </w:tcPr>
          <w:p>
            <w:pPr>
              <w:spacing w:after="40"/>
              <w:jc w:val="center"/>
            </w:pPr>
            <w:r>
              <w:rPr>
                <w:b/>
                <w:bCs/>
                <w:color w:val="FFFFFF"/>
                <w:sz w:val="20"/>
                <w:szCs w:val="20"/>
              </w:rPr>
              <w:t xml:space="preserve">Responsible (R)</w:t>
            </w:r>
          </w:p>
        </w:tc>
        <w:tc>
          <w:tcPr>
            <w:tcW w:type="pct" w:w="18%"/>
            <w:shd w:fill="1F3864" w:color="auto" w:val="clear"/>
            <w:tcMar>
              <w:top w:type="dxa" w:w="80"/>
              <w:left w:type="dxa" w:w="120"/>
              <w:bottom w:type="dxa" w:w="80"/>
              <w:right w:type="dxa" w:w="120"/>
            </w:tcMar>
          </w:tcPr>
          <w:p>
            <w:pPr>
              <w:spacing w:after="40"/>
              <w:jc w:val="center"/>
            </w:pPr>
            <w:r>
              <w:rPr>
                <w:b/>
                <w:bCs/>
                <w:color w:val="FFFFFF"/>
                <w:sz w:val="20"/>
                <w:szCs w:val="20"/>
              </w:rPr>
              <w:t xml:space="preserve">Accountable (A)</w:t>
            </w:r>
          </w:p>
        </w:tc>
        <w:tc>
          <w:tcPr>
            <w:tcW w:type="pct" w:w="16%"/>
            <w:shd w:fill="1F3864" w:color="auto" w:val="clear"/>
            <w:tcMar>
              <w:top w:type="dxa" w:w="80"/>
              <w:left w:type="dxa" w:w="120"/>
              <w:bottom w:type="dxa" w:w="80"/>
              <w:right w:type="dxa" w:w="120"/>
            </w:tcMar>
          </w:tcPr>
          <w:p>
            <w:pPr>
              <w:spacing w:after="40"/>
              <w:jc w:val="center"/>
            </w:pPr>
            <w:r>
              <w:rPr>
                <w:b/>
                <w:bCs/>
                <w:color w:val="FFFFFF"/>
                <w:sz w:val="20"/>
                <w:szCs w:val="20"/>
              </w:rPr>
              <w:t xml:space="preserve">Consulted (C)</w:t>
            </w:r>
          </w:p>
        </w:tc>
        <w:tc>
          <w:tcPr>
            <w:tcW w:type="pct" w:w="18%"/>
            <w:shd w:fill="1F3864" w:color="auto" w:val="clear"/>
            <w:tcMar>
              <w:top w:type="dxa" w:w="80"/>
              <w:left w:type="dxa" w:w="120"/>
              <w:bottom w:type="dxa" w:w="80"/>
              <w:right w:type="dxa" w:w="120"/>
            </w:tcMar>
          </w:tcPr>
          <w:p>
            <w:pPr>
              <w:spacing w:after="40"/>
              <w:jc w:val="center"/>
            </w:pPr>
            <w:r>
              <w:rPr>
                <w:b/>
                <w:bCs/>
                <w:color w:val="FFFFFF"/>
                <w:sz w:val="20"/>
                <w:szCs w:val="20"/>
              </w:rPr>
              <w:t xml:space="preserve">Informed (I)</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Detection (alerts, hunts)</w:t>
            </w:r>
          </w:p>
        </w:tc>
        <w:tc>
          <w:tcPr>
            <w:tcMar>
              <w:top w:type="dxa" w:w="80"/>
              <w:left w:type="dxa" w:w="120"/>
              <w:bottom w:type="dxa" w:w="80"/>
              <w:right w:type="dxa" w:w="120"/>
            </w:tcMar>
          </w:tcPr>
          <w:p>
            <w:pPr>
              <w:spacing w:after="40"/>
              <w:jc w:val="center"/>
            </w:pPr>
            <w:r>
              <w:rPr>
                <w:b w:val="false"/>
                <w:bCs w:val="false"/>
                <w:color w:val="1B1B1F"/>
                <w:sz w:val="20"/>
                <w:szCs w:val="20"/>
              </w:rPr>
              <w:t xml:space="preserve">SOC analyst</w:t>
            </w:r>
          </w:p>
        </w:tc>
        <w:tc>
          <w:tcPr>
            <w:tcMar>
              <w:top w:type="dxa" w:w="80"/>
              <w:left w:type="dxa" w:w="120"/>
              <w:bottom w:type="dxa" w:w="80"/>
              <w:right w:type="dxa" w:w="120"/>
            </w:tcMar>
          </w:tcPr>
          <w:p>
            <w:pPr>
              <w:spacing w:after="40"/>
              <w:jc w:val="center"/>
            </w:pPr>
            <w:r>
              <w:rPr>
                <w:b w:val="false"/>
                <w:bCs w:val="false"/>
                <w:color w:val="1B1B1F"/>
                <w:sz w:val="20"/>
                <w:szCs w:val="20"/>
              </w:rPr>
              <w:t xml:space="preserve">CISO</w:t>
            </w:r>
          </w:p>
        </w:tc>
        <w:tc>
          <w:tcPr>
            <w:tcMar>
              <w:top w:type="dxa" w:w="80"/>
              <w:left w:type="dxa" w:w="120"/>
              <w:bottom w:type="dxa" w:w="80"/>
              <w:right w:type="dxa" w:w="120"/>
            </w:tcMar>
          </w:tcPr>
          <w:p>
            <w:pPr>
              <w:spacing w:after="40"/>
              <w:jc w:val="center"/>
            </w:pPr>
            <w:r>
              <w:rPr>
                <w:b w:val="false"/>
                <w:bCs w:val="false"/>
                <w:color w:val="1B1B1F"/>
                <w:sz w:val="20"/>
                <w:szCs w:val="20"/>
              </w:rPr>
              <w:t xml:space="preserve">AI &amp; Automation</w:t>
            </w:r>
          </w:p>
        </w:tc>
        <w:tc>
          <w:tcPr>
            <w:tcMar>
              <w:top w:type="dxa" w:w="80"/>
              <w:left w:type="dxa" w:w="120"/>
              <w:bottom w:type="dxa" w:w="80"/>
              <w:right w:type="dxa" w:w="120"/>
            </w:tcMar>
          </w:tcPr>
          <w:p>
            <w:pPr>
              <w:spacing w:after="40"/>
              <w:jc w:val="center"/>
            </w:pPr>
            <w:r>
              <w:rPr>
                <w:b w:val="false"/>
                <w:bCs w:val="false"/>
                <w:color w:val="1B1B1F"/>
                <w:sz w:val="20"/>
                <w:szCs w:val="20"/>
              </w:rPr>
              <w:t xml:space="preserve">Head of AI</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Triage and classification</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SOC analyst</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SOC lead</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AI &amp; Automation, DPO</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Council Sec.</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Containment / mitigation</w:t>
            </w:r>
          </w:p>
        </w:tc>
        <w:tc>
          <w:tcPr>
            <w:tcMar>
              <w:top w:type="dxa" w:w="80"/>
              <w:left w:type="dxa" w:w="120"/>
              <w:bottom w:type="dxa" w:w="80"/>
              <w:right w:type="dxa" w:w="120"/>
            </w:tcMar>
          </w:tcPr>
          <w:p>
            <w:pPr>
              <w:spacing w:after="40"/>
              <w:jc w:val="center"/>
            </w:pPr>
            <w:r>
              <w:rPr>
                <w:b w:val="false"/>
                <w:bCs w:val="false"/>
                <w:color w:val="1B1B1F"/>
                <w:sz w:val="20"/>
                <w:szCs w:val="20"/>
              </w:rPr>
              <w:t xml:space="preserve">SOC + AI Platform</w:t>
            </w:r>
          </w:p>
        </w:tc>
        <w:tc>
          <w:tcPr>
            <w:tcMar>
              <w:top w:type="dxa" w:w="80"/>
              <w:left w:type="dxa" w:w="120"/>
              <w:bottom w:type="dxa" w:w="80"/>
              <w:right w:type="dxa" w:w="120"/>
            </w:tcMar>
          </w:tcPr>
          <w:p>
            <w:pPr>
              <w:spacing w:after="40"/>
              <w:jc w:val="center"/>
            </w:pPr>
            <w:r>
              <w:rPr>
                <w:b w:val="false"/>
                <w:bCs w:val="false"/>
                <w:color w:val="1B1B1F"/>
                <w:sz w:val="20"/>
                <w:szCs w:val="20"/>
              </w:rPr>
              <w:t xml:space="preserve">CISO</w:t>
            </w:r>
          </w:p>
        </w:tc>
        <w:tc>
          <w:tcPr>
            <w:tcMar>
              <w:top w:type="dxa" w:w="80"/>
              <w:left w:type="dxa" w:w="120"/>
              <w:bottom w:type="dxa" w:w="80"/>
              <w:right w:type="dxa" w:w="120"/>
            </w:tcMar>
          </w:tcPr>
          <w:p>
            <w:pPr>
              <w:spacing w:after="40"/>
              <w:jc w:val="center"/>
            </w:pPr>
            <w:r>
              <w:rPr>
                <w:b w:val="false"/>
                <w:bCs w:val="false"/>
                <w:color w:val="1B1B1F"/>
                <w:sz w:val="20"/>
                <w:szCs w:val="20"/>
              </w:rPr>
              <w:t xml:space="preserve">Use-case owner</w:t>
            </w:r>
          </w:p>
        </w:tc>
        <w:tc>
          <w:tcPr>
            <w:tcMar>
              <w:top w:type="dxa" w:w="80"/>
              <w:left w:type="dxa" w:w="120"/>
              <w:bottom w:type="dxa" w:w="80"/>
              <w:right w:type="dxa" w:w="120"/>
            </w:tcMar>
          </w:tcPr>
          <w:p>
            <w:pPr>
              <w:spacing w:after="40"/>
              <w:jc w:val="center"/>
            </w:pPr>
            <w:r>
              <w:rPr>
                <w:b w:val="false"/>
                <w:bCs w:val="false"/>
                <w:color w:val="1B1B1F"/>
                <w:sz w:val="20"/>
                <w:szCs w:val="20"/>
              </w:rPr>
              <w:t xml:space="preserve">AI Council</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Communications (internal / external)</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Comms / Legal</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GC</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DPO, CISO</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ExCo</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Regulator notification</w:t>
            </w:r>
          </w:p>
        </w:tc>
        <w:tc>
          <w:tcPr>
            <w:tcMar>
              <w:top w:type="dxa" w:w="80"/>
              <w:left w:type="dxa" w:w="120"/>
              <w:bottom w:type="dxa" w:w="80"/>
              <w:right w:type="dxa" w:w="120"/>
            </w:tcMar>
          </w:tcPr>
          <w:p>
            <w:pPr>
              <w:spacing w:after="40"/>
              <w:jc w:val="center"/>
            </w:pPr>
            <w:r>
              <w:rPr>
                <w:b w:val="false"/>
                <w:bCs w:val="false"/>
                <w:color w:val="1B1B1F"/>
                <w:sz w:val="20"/>
                <w:szCs w:val="20"/>
              </w:rPr>
              <w:t xml:space="preserve">DPO / GC</w:t>
            </w:r>
          </w:p>
        </w:tc>
        <w:tc>
          <w:tcPr>
            <w:tcMar>
              <w:top w:type="dxa" w:w="80"/>
              <w:left w:type="dxa" w:w="120"/>
              <w:bottom w:type="dxa" w:w="80"/>
              <w:right w:type="dxa" w:w="120"/>
            </w:tcMar>
          </w:tcPr>
          <w:p>
            <w:pPr>
              <w:spacing w:after="40"/>
              <w:jc w:val="center"/>
            </w:pPr>
            <w:r>
              <w:rPr>
                <w:b w:val="false"/>
                <w:bCs w:val="false"/>
                <w:color w:val="1B1B1F"/>
                <w:sz w:val="20"/>
                <w:szCs w:val="20"/>
              </w:rPr>
              <w:t xml:space="preserve">GC</w:t>
            </w:r>
          </w:p>
        </w:tc>
        <w:tc>
          <w:tcPr>
            <w:tcMar>
              <w:top w:type="dxa" w:w="80"/>
              <w:left w:type="dxa" w:w="120"/>
              <w:bottom w:type="dxa" w:w="80"/>
              <w:right w:type="dxa" w:w="120"/>
            </w:tcMar>
          </w:tcPr>
          <w:p>
            <w:pPr>
              <w:spacing w:after="40"/>
              <w:jc w:val="center"/>
            </w:pPr>
            <w:r>
              <w:rPr>
                <w:b w:val="false"/>
                <w:bCs w:val="false"/>
                <w:color w:val="1B1B1F"/>
                <w:sz w:val="20"/>
                <w:szCs w:val="20"/>
              </w:rPr>
              <w:t xml:space="preserve">CISO, Risk</w:t>
            </w:r>
          </w:p>
        </w:tc>
        <w:tc>
          <w:tcPr>
            <w:tcMar>
              <w:top w:type="dxa" w:w="80"/>
              <w:left w:type="dxa" w:w="120"/>
              <w:bottom w:type="dxa" w:w="80"/>
              <w:right w:type="dxa" w:w="120"/>
            </w:tcMar>
          </w:tcPr>
          <w:p>
            <w:pPr>
              <w:spacing w:after="40"/>
              <w:jc w:val="center"/>
            </w:pPr>
            <w:r>
              <w:rPr>
                <w:b w:val="false"/>
                <w:bCs w:val="false"/>
                <w:color w:val="1B1B1F"/>
                <w:sz w:val="20"/>
                <w:szCs w:val="20"/>
              </w:rPr>
              <w:t xml:space="preserve">Board Risk Cttee</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Post-incident review</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AI &amp; Automation</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Head of AI</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All involved</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AI Council</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Control update / playbook revision</w:t>
            </w:r>
          </w:p>
        </w:tc>
        <w:tc>
          <w:tcPr>
            <w:tcMar>
              <w:top w:type="dxa" w:w="80"/>
              <w:left w:type="dxa" w:w="120"/>
              <w:bottom w:type="dxa" w:w="80"/>
              <w:right w:type="dxa" w:w="120"/>
            </w:tcMar>
          </w:tcPr>
          <w:p>
            <w:pPr>
              <w:spacing w:after="40"/>
              <w:jc w:val="center"/>
            </w:pPr>
            <w:r>
              <w:rPr>
                <w:b w:val="false"/>
                <w:bCs w:val="false"/>
                <w:color w:val="1B1B1F"/>
                <w:sz w:val="20"/>
                <w:szCs w:val="20"/>
              </w:rPr>
              <w:t xml:space="preserve">AI &amp; Automation + CISO</w:t>
            </w:r>
          </w:p>
        </w:tc>
        <w:tc>
          <w:tcPr>
            <w:tcMar>
              <w:top w:type="dxa" w:w="80"/>
              <w:left w:type="dxa" w:w="120"/>
              <w:bottom w:type="dxa" w:w="80"/>
              <w:right w:type="dxa" w:w="120"/>
            </w:tcMar>
          </w:tcPr>
          <w:p>
            <w:pPr>
              <w:spacing w:after="40"/>
              <w:jc w:val="center"/>
            </w:pPr>
            <w:r>
              <w:rPr>
                <w:b w:val="false"/>
                <w:bCs w:val="false"/>
                <w:color w:val="1B1B1F"/>
                <w:sz w:val="20"/>
                <w:szCs w:val="20"/>
              </w:rPr>
              <w:t xml:space="preserve">Head of AI</w:t>
            </w:r>
          </w:p>
        </w:tc>
        <w:tc>
          <w:tcPr>
            <w:tcMar>
              <w:top w:type="dxa" w:w="80"/>
              <w:left w:type="dxa" w:w="120"/>
              <w:bottom w:type="dxa" w:w="80"/>
              <w:right w:type="dxa" w:w="120"/>
            </w:tcMar>
          </w:tcPr>
          <w:p>
            <w:pPr>
              <w:spacing w:after="40"/>
              <w:jc w:val="center"/>
            </w:pPr>
            <w:r>
              <w:rPr>
                <w:b w:val="false"/>
                <w:bCs w:val="false"/>
                <w:color w:val="1B1B1F"/>
                <w:sz w:val="20"/>
                <w:szCs w:val="20"/>
              </w:rPr>
              <w:t xml:space="preserve">Control owners</w:t>
            </w:r>
          </w:p>
        </w:tc>
        <w:tc>
          <w:tcPr>
            <w:tcMar>
              <w:top w:type="dxa" w:w="80"/>
              <w:left w:type="dxa" w:w="120"/>
              <w:bottom w:type="dxa" w:w="80"/>
              <w:right w:type="dxa" w:w="120"/>
            </w:tcMar>
          </w:tcPr>
          <w:p>
            <w:pPr>
              <w:spacing w:after="40"/>
              <w:jc w:val="center"/>
            </w:pPr>
            <w:r>
              <w:rPr>
                <w:b w:val="false"/>
                <w:bCs w:val="false"/>
                <w:color w:val="1B1B1F"/>
                <w:sz w:val="20"/>
                <w:szCs w:val="20"/>
              </w:rPr>
              <w:t xml:space="preserve">AI Council</w:t>
            </w:r>
          </w:p>
        </w:tc>
      </w:tr>
    </w:tbl>
    <w:p>
      <w:pPr>
        <w:pStyle w:val="Heading1"/>
        <w:spacing w:after="160" w:before="360"/>
      </w:pPr>
      <w:r>
        <w:rPr>
          <w:b/>
          <w:bCs/>
          <w:color w:val="1F3864"/>
          <w:sz w:val="30"/>
          <w:szCs w:val="30"/>
        </w:rPr>
        <w:t xml:space="preserve">3. Monitoring Stack</w:t>
      </w:r>
    </w:p>
    <w:p>
      <w:pPr>
        <w:spacing w:after="120" w:line="300"/>
      </w:pPr>
      <w:r>
        <w:t xml:space="preserve">AI signals from across the estate are funnelled into Microsoft Sentinel, where SOC analysts work them with the same tooling and workflow used for non-AI signals. Specialist consoles (Purview, Defender for Cloud, GitHub) are the source-of-truth for deep investigation.</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tblGrid>
      <w:tr>
        <w:trPr>
          <w:tblHeader/>
        </w:trPr>
        <w:tc>
          <w:tcPr>
            <w:tcW w:type="pct" w:w="28%"/>
            <w:shd w:fill="1F3864" w:color="auto" w:val="clear"/>
            <w:tcMar>
              <w:top w:type="dxa" w:w="80"/>
              <w:left w:type="dxa" w:w="120"/>
              <w:bottom w:type="dxa" w:w="80"/>
              <w:right w:type="dxa" w:w="120"/>
            </w:tcMar>
          </w:tcPr>
          <w:p>
            <w:pPr>
              <w:spacing w:after="40"/>
              <w:jc w:val="left"/>
            </w:pPr>
            <w:r>
              <w:rPr>
                <w:b/>
                <w:bCs/>
                <w:color w:val="FFFFFF"/>
                <w:sz w:val="20"/>
                <w:szCs w:val="20"/>
              </w:rPr>
              <w:t xml:space="preserve">Signal source</w:t>
            </w:r>
          </w:p>
        </w:tc>
        <w:tc>
          <w:tcPr>
            <w:tcW w:type="pct" w:w="50%"/>
            <w:shd w:fill="1F3864" w:color="auto" w:val="clear"/>
            <w:tcMar>
              <w:top w:type="dxa" w:w="80"/>
              <w:left w:type="dxa" w:w="120"/>
              <w:bottom w:type="dxa" w:w="80"/>
              <w:right w:type="dxa" w:w="120"/>
            </w:tcMar>
          </w:tcPr>
          <w:p>
            <w:pPr>
              <w:spacing w:after="40"/>
              <w:jc w:val="left"/>
            </w:pPr>
            <w:r>
              <w:rPr>
                <w:b/>
                <w:bCs/>
                <w:color w:val="FFFFFF"/>
                <w:sz w:val="20"/>
                <w:szCs w:val="20"/>
              </w:rPr>
              <w:t xml:space="preserve">What it tells us</w:t>
            </w:r>
          </w:p>
        </w:tc>
        <w:tc>
          <w:tcPr>
            <w:tcW w:type="pct" w:w="22%"/>
            <w:shd w:fill="1F3864" w:color="auto" w:val="clear"/>
            <w:tcMar>
              <w:top w:type="dxa" w:w="80"/>
              <w:left w:type="dxa" w:w="120"/>
              <w:bottom w:type="dxa" w:w="80"/>
              <w:right w:type="dxa" w:w="120"/>
            </w:tcMar>
          </w:tcPr>
          <w:p>
            <w:pPr>
              <w:spacing w:after="40"/>
              <w:jc w:val="left"/>
            </w:pPr>
            <w:r>
              <w:rPr>
                <w:b/>
                <w:bCs/>
                <w:color w:val="FFFFFF"/>
                <w:sz w:val="20"/>
                <w:szCs w:val="20"/>
              </w:rPr>
              <w:t xml:space="preserve">Where it lands</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Microsoft Purview Audit</w:t>
            </w:r>
          </w:p>
        </w:tc>
        <w:tc>
          <w:tcPr>
            <w:tcMar>
              <w:top w:type="dxa" w:w="80"/>
              <w:left w:type="dxa" w:w="120"/>
              <w:bottom w:type="dxa" w:w="80"/>
              <w:right w:type="dxa" w:w="120"/>
            </w:tcMar>
          </w:tcPr>
          <w:p>
            <w:pPr>
              <w:spacing w:after="40"/>
              <w:jc w:val="left"/>
            </w:pPr>
            <w:r>
              <w:rPr>
                <w:b w:val="false"/>
                <w:bCs w:val="false"/>
                <w:color w:val="1B1B1F"/>
                <w:sz w:val="20"/>
                <w:szCs w:val="20"/>
              </w:rPr>
              <w:t xml:space="preserve">Per-user M365 Copilot prompts, retrievals, outputs; document accesses; sensitivity-label events.</w:t>
            </w:r>
          </w:p>
        </w:tc>
        <w:tc>
          <w:tcPr>
            <w:tcMar>
              <w:top w:type="dxa" w:w="80"/>
              <w:left w:type="dxa" w:w="120"/>
              <w:bottom w:type="dxa" w:w="80"/>
              <w:right w:type="dxa" w:w="120"/>
            </w:tcMar>
          </w:tcPr>
          <w:p>
            <w:pPr>
              <w:spacing w:after="40"/>
              <w:jc w:val="left"/>
            </w:pPr>
            <w:r>
              <w:rPr>
                <w:b w:val="false"/>
                <w:bCs w:val="false"/>
                <w:color w:val="1B1B1F"/>
                <w:sz w:val="20"/>
                <w:szCs w:val="20"/>
              </w:rPr>
              <w:t xml:space="preserve">Sentinel + Purview</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Microsoft Purview DLP</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Confidential / Restricted data attempted to flow into / out of Copilot or other AI surfaces.</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Sentinel + Purview</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Defender for Cloud Apps (CASB)</w:t>
            </w:r>
          </w:p>
        </w:tc>
        <w:tc>
          <w:tcPr>
            <w:tcMar>
              <w:top w:type="dxa" w:w="80"/>
              <w:left w:type="dxa" w:w="120"/>
              <w:bottom w:type="dxa" w:w="80"/>
              <w:right w:type="dxa" w:w="120"/>
            </w:tcMar>
          </w:tcPr>
          <w:p>
            <w:pPr>
              <w:spacing w:after="40"/>
              <w:jc w:val="left"/>
            </w:pPr>
            <w:r>
              <w:rPr>
                <w:b w:val="false"/>
                <w:bCs w:val="false"/>
                <w:color w:val="1B1B1F"/>
                <w:sz w:val="20"/>
                <w:szCs w:val="20"/>
              </w:rPr>
              <w:t xml:space="preserve">Use of unsanctioned AI SaaS endpoints from corporate identities or networks.</w:t>
            </w:r>
          </w:p>
        </w:tc>
        <w:tc>
          <w:tcPr>
            <w:tcMar>
              <w:top w:type="dxa" w:w="80"/>
              <w:left w:type="dxa" w:w="120"/>
              <w:bottom w:type="dxa" w:w="80"/>
              <w:right w:type="dxa" w:w="120"/>
            </w:tcMar>
          </w:tcPr>
          <w:p>
            <w:pPr>
              <w:spacing w:after="40"/>
              <w:jc w:val="left"/>
            </w:pPr>
            <w:r>
              <w:rPr>
                <w:b w:val="false"/>
                <w:bCs w:val="false"/>
                <w:color w:val="1B1B1F"/>
                <w:sz w:val="20"/>
                <w:szCs w:val="20"/>
              </w:rPr>
              <w:t xml:space="preserve">Sentinel + DfCA</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Defender for Cloud — AI workload protections</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Suspicious model invocations, jailbreak / prompt-injection patterns, abnormal Foundry traffic, exposed model endpoints.</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Sentinel + DfC</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Foundry / Azure OpenAI activity logs</w:t>
            </w:r>
          </w:p>
        </w:tc>
        <w:tc>
          <w:tcPr>
            <w:tcMar>
              <w:top w:type="dxa" w:w="80"/>
              <w:left w:type="dxa" w:w="120"/>
              <w:bottom w:type="dxa" w:w="80"/>
              <w:right w:type="dxa" w:w="120"/>
            </w:tcMar>
          </w:tcPr>
          <w:p>
            <w:pPr>
              <w:spacing w:after="40"/>
              <w:jc w:val="left"/>
            </w:pPr>
            <w:r>
              <w:rPr>
                <w:b w:val="false"/>
                <w:bCs w:val="false"/>
                <w:color w:val="1B1B1F"/>
                <w:sz w:val="20"/>
                <w:szCs w:val="20"/>
              </w:rPr>
              <w:t xml:space="preserve">Per-deployment prompts, completions, content-safety filter triggers, throttling, errors.</w:t>
            </w:r>
          </w:p>
        </w:tc>
        <w:tc>
          <w:tcPr>
            <w:tcMar>
              <w:top w:type="dxa" w:w="80"/>
              <w:left w:type="dxa" w:w="120"/>
              <w:bottom w:type="dxa" w:w="80"/>
              <w:right w:type="dxa" w:w="120"/>
            </w:tcMar>
          </w:tcPr>
          <w:p>
            <w:pPr>
              <w:spacing w:after="40"/>
              <w:jc w:val="left"/>
            </w:pPr>
            <w:r>
              <w:rPr>
                <w:b w:val="false"/>
                <w:bCs w:val="false"/>
                <w:color w:val="1B1B1F"/>
                <w:sz w:val="20"/>
                <w:szCs w:val="20"/>
              </w:rPr>
              <w:t xml:space="preserve">Sentinel + Log Analytics</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Azure Monitor / Cost Management</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Spend trajectory, budget breaches, anomalous consumption (e.g. Opus runaway).</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Sentinel + Cost Mgmt</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GitHub audit + GHAS</w:t>
            </w:r>
          </w:p>
        </w:tc>
        <w:tc>
          <w:tcPr>
            <w:tcMar>
              <w:top w:type="dxa" w:w="80"/>
              <w:left w:type="dxa" w:w="120"/>
              <w:bottom w:type="dxa" w:w="80"/>
              <w:right w:type="dxa" w:w="120"/>
            </w:tcMar>
          </w:tcPr>
          <w:p>
            <w:pPr>
              <w:spacing w:after="40"/>
              <w:jc w:val="left"/>
            </w:pPr>
            <w:r>
              <w:rPr>
                <w:b w:val="false"/>
                <w:bCs w:val="false"/>
                <w:color w:val="1B1B1F"/>
                <w:sz w:val="20"/>
                <w:szCs w:val="20"/>
              </w:rPr>
              <w:t xml:space="preserve">Copilot acceptance, secret-scan / push-protection events, CodeQL findings, dependency review failures.</w:t>
            </w:r>
          </w:p>
        </w:tc>
        <w:tc>
          <w:tcPr>
            <w:tcMar>
              <w:top w:type="dxa" w:w="80"/>
              <w:left w:type="dxa" w:w="120"/>
              <w:bottom w:type="dxa" w:w="80"/>
              <w:right w:type="dxa" w:w="120"/>
            </w:tcMar>
          </w:tcPr>
          <w:p>
            <w:pPr>
              <w:spacing w:after="40"/>
              <w:jc w:val="left"/>
            </w:pPr>
            <w:r>
              <w:rPr>
                <w:b w:val="false"/>
                <w:bCs w:val="false"/>
                <w:color w:val="1B1B1F"/>
                <w:sz w:val="20"/>
                <w:szCs w:val="20"/>
              </w:rPr>
              <w:t xml:space="preserve">Sentinel + GitHub</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Power Platform CoE / Copilot Studio</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New agents, connector use, DLP policy violations.</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Sentinel + PP admin</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ServiceNow AI Incident form</w:t>
            </w:r>
          </w:p>
        </w:tc>
        <w:tc>
          <w:tcPr>
            <w:tcMar>
              <w:top w:type="dxa" w:w="80"/>
              <w:left w:type="dxa" w:w="120"/>
              <w:bottom w:type="dxa" w:w="80"/>
              <w:right w:type="dxa" w:w="120"/>
            </w:tcMar>
          </w:tcPr>
          <w:p>
            <w:pPr>
              <w:spacing w:after="40"/>
              <w:jc w:val="left"/>
            </w:pPr>
            <w:r>
              <w:rPr>
                <w:b w:val="false"/>
                <w:bCs w:val="false"/>
                <w:color w:val="1B1B1F"/>
                <w:sz w:val="20"/>
                <w:szCs w:val="20"/>
              </w:rPr>
              <w:t xml:space="preserve">Human-reported incidents and near-misses (per AUP §10).</w:t>
            </w:r>
          </w:p>
        </w:tc>
        <w:tc>
          <w:tcPr>
            <w:tcMar>
              <w:top w:type="dxa" w:w="80"/>
              <w:left w:type="dxa" w:w="120"/>
              <w:bottom w:type="dxa" w:w="80"/>
              <w:right w:type="dxa" w:w="120"/>
            </w:tcMar>
          </w:tcPr>
          <w:p>
            <w:pPr>
              <w:spacing w:after="40"/>
              <w:jc w:val="left"/>
            </w:pPr>
            <w:r>
              <w:rPr>
                <w:b w:val="false"/>
                <w:bCs w:val="false"/>
                <w:color w:val="1B1B1F"/>
                <w:sz w:val="20"/>
                <w:szCs w:val="20"/>
              </w:rPr>
              <w:t xml:space="preserve">ServiceNow + Sentinel</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Endpoint / Intune / Edge</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Attempts to install unmanaged AI plugins / extensions; clipboard exfiltration patterns.</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Sentinel + Intune</w:t>
            </w:r>
          </w:p>
        </w:tc>
      </w:tr>
    </w:tbl>
    <w:p>
      <w:pPr>
        <w:pStyle w:val="Heading1"/>
        <w:spacing w:after="160" w:before="360"/>
      </w:pPr>
      <w:r>
        <w:rPr>
          <w:b/>
          <w:bCs/>
          <w:color w:val="1F3864"/>
          <w:sz w:val="30"/>
          <w:szCs w:val="30"/>
        </w:rPr>
        <w:t xml:space="preserve">4. Alert Catalog and Severities</w:t>
      </w:r>
    </w:p>
    <w:p>
      <w:pPr>
        <w:spacing w:after="120" w:line="300"/>
      </w:pPr>
      <w:r>
        <w:t xml:space="preserve">Each alert in Sentinel has a default severity, the conditions that must be met, and a default response time. SOC may upgrade severity based on context (e.g. customer impact, regulator-relevant content).</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gridCol w:w="100"/>
        <w:gridCol w:w="100"/>
      </w:tblGrid>
      <w:tr>
        <w:trPr>
          <w:tblHeader/>
        </w:trPr>
        <w:tc>
          <w:tcPr>
            <w:tcW w:type="pct" w:w="8%"/>
            <w:shd w:fill="1F3864" w:color="auto" w:val="clear"/>
            <w:tcMar>
              <w:top w:type="dxa" w:w="80"/>
              <w:left w:type="dxa" w:w="120"/>
              <w:bottom w:type="dxa" w:w="80"/>
              <w:right w:type="dxa" w:w="120"/>
            </w:tcMar>
          </w:tcPr>
          <w:p>
            <w:pPr>
              <w:spacing w:after="40"/>
              <w:jc w:val="center"/>
            </w:pPr>
            <w:r>
              <w:rPr>
                <w:b/>
                <w:bCs/>
                <w:color w:val="FFFFFF"/>
                <w:sz w:val="20"/>
                <w:szCs w:val="20"/>
              </w:rPr>
              <w:t xml:space="preserve">Alert ID</w:t>
            </w:r>
          </w:p>
        </w:tc>
        <w:tc>
          <w:tcPr>
            <w:tcW w:type="pct" w:w="50%"/>
            <w:shd w:fill="1F3864" w:color="auto" w:val="clear"/>
            <w:tcMar>
              <w:top w:type="dxa" w:w="80"/>
              <w:left w:type="dxa" w:w="120"/>
              <w:bottom w:type="dxa" w:w="80"/>
              <w:right w:type="dxa" w:w="120"/>
            </w:tcMar>
          </w:tcPr>
          <w:p>
            <w:pPr>
              <w:spacing w:after="40"/>
              <w:jc w:val="left"/>
            </w:pPr>
            <w:r>
              <w:rPr>
                <w:b/>
                <w:bCs/>
                <w:color w:val="FFFFFF"/>
                <w:sz w:val="20"/>
                <w:szCs w:val="20"/>
              </w:rPr>
              <w:t xml:space="preserve">Trigger</w:t>
            </w:r>
          </w:p>
        </w:tc>
        <w:tc>
          <w:tcPr>
            <w:tcW w:type="pct" w:w="14%"/>
            <w:shd w:fill="1F3864" w:color="auto" w:val="clear"/>
            <w:tcMar>
              <w:top w:type="dxa" w:w="80"/>
              <w:left w:type="dxa" w:w="120"/>
              <w:bottom w:type="dxa" w:w="80"/>
              <w:right w:type="dxa" w:w="120"/>
            </w:tcMar>
          </w:tcPr>
          <w:p>
            <w:pPr>
              <w:spacing w:after="40"/>
              <w:jc w:val="center"/>
            </w:pPr>
            <w:r>
              <w:rPr>
                <w:b/>
                <w:bCs/>
                <w:color w:val="FFFFFF"/>
                <w:sz w:val="20"/>
                <w:szCs w:val="20"/>
              </w:rPr>
              <w:t xml:space="preserve">Default severity</w:t>
            </w:r>
          </w:p>
        </w:tc>
        <w:tc>
          <w:tcPr>
            <w:tcW w:type="pct" w:w="14%"/>
            <w:shd w:fill="1F3864" w:color="auto" w:val="clear"/>
            <w:tcMar>
              <w:top w:type="dxa" w:w="80"/>
              <w:left w:type="dxa" w:w="120"/>
              <w:bottom w:type="dxa" w:w="80"/>
              <w:right w:type="dxa" w:w="120"/>
            </w:tcMar>
          </w:tcPr>
          <w:p>
            <w:pPr>
              <w:spacing w:after="40"/>
              <w:jc w:val="center"/>
            </w:pPr>
            <w:r>
              <w:rPr>
                <w:b/>
                <w:bCs/>
                <w:color w:val="FFFFFF"/>
                <w:sz w:val="20"/>
                <w:szCs w:val="20"/>
              </w:rPr>
              <w:t xml:space="preserve">Default response</w:t>
            </w:r>
          </w:p>
        </w:tc>
        <w:tc>
          <w:tcPr>
            <w:tcW w:type="pct" w:w="14%"/>
            <w:shd w:fill="1F3864" w:color="auto" w:val="clear"/>
            <w:tcMar>
              <w:top w:type="dxa" w:w="80"/>
              <w:left w:type="dxa" w:w="120"/>
              <w:bottom w:type="dxa" w:w="80"/>
              <w:right w:type="dxa" w:w="120"/>
            </w:tcMar>
          </w:tcPr>
          <w:p>
            <w:pPr>
              <w:spacing w:after="40"/>
              <w:jc w:val="center"/>
            </w:pPr>
            <w:r>
              <w:rPr>
                <w:b/>
                <w:bCs/>
                <w:color w:val="FFFFFF"/>
                <w:sz w:val="20"/>
                <w:szCs w:val="20"/>
              </w:rPr>
              <w:t xml:space="preserve">Playbook</w:t>
            </w:r>
          </w:p>
        </w:tc>
      </w:tr>
      <w:tr>
        <w:tc>
          <w:tcPr>
            <w:tcMar>
              <w:top w:type="dxa" w:w="80"/>
              <w:left w:type="dxa" w:w="120"/>
              <w:bottom w:type="dxa" w:w="80"/>
              <w:right w:type="dxa" w:w="120"/>
            </w:tcMar>
          </w:tcPr>
          <w:p>
            <w:pPr>
              <w:spacing w:after="40"/>
              <w:jc w:val="center"/>
            </w:pPr>
            <w:r>
              <w:rPr>
                <w:b/>
                <w:bCs/>
                <w:color w:val="1B1B1F"/>
                <w:sz w:val="20"/>
                <w:szCs w:val="20"/>
              </w:rPr>
              <w:t xml:space="preserve">AL-01</w:t>
            </w:r>
          </w:p>
        </w:tc>
        <w:tc>
          <w:tcPr>
            <w:tcMar>
              <w:top w:type="dxa" w:w="80"/>
              <w:left w:type="dxa" w:w="120"/>
              <w:bottom w:type="dxa" w:w="80"/>
              <w:right w:type="dxa" w:w="120"/>
            </w:tcMar>
          </w:tcPr>
          <w:p>
            <w:pPr>
              <w:spacing w:after="40"/>
              <w:jc w:val="left"/>
            </w:pPr>
            <w:r>
              <w:rPr>
                <w:b w:val="false"/>
                <w:bCs w:val="false"/>
                <w:color w:val="1B1B1F"/>
                <w:sz w:val="20"/>
                <w:szCs w:val="20"/>
              </w:rPr>
              <w:t xml:space="preserve">Confidential / Restricted data detected in Copilot or Foundry prompt / response.</w:t>
            </w:r>
          </w:p>
        </w:tc>
        <w:tc>
          <w:tcPr>
            <w:tcMar>
              <w:top w:type="dxa" w:w="80"/>
              <w:left w:type="dxa" w:w="120"/>
              <w:bottom w:type="dxa" w:w="80"/>
              <w:right w:type="dxa" w:w="120"/>
            </w:tcMar>
          </w:tcPr>
          <w:p>
            <w:pPr>
              <w:spacing w:after="40"/>
              <w:jc w:val="center"/>
            </w:pPr>
            <w:r>
              <w:rPr>
                <w:b/>
                <w:bCs/>
                <w:color w:val="B23A3A"/>
                <w:sz w:val="20"/>
                <w:szCs w:val="20"/>
              </w:rPr>
              <w:t xml:space="preserve">P1</w:t>
            </w:r>
          </w:p>
        </w:tc>
        <w:tc>
          <w:tcPr>
            <w:tcMar>
              <w:top w:type="dxa" w:w="80"/>
              <w:left w:type="dxa" w:w="120"/>
              <w:bottom w:type="dxa" w:w="80"/>
              <w:right w:type="dxa" w:w="120"/>
            </w:tcMar>
          </w:tcPr>
          <w:p>
            <w:pPr>
              <w:spacing w:after="40"/>
              <w:jc w:val="center"/>
            </w:pPr>
            <w:r>
              <w:rPr>
                <w:b w:val="false"/>
                <w:bCs w:val="false"/>
                <w:color w:val="1B1B1F"/>
                <w:sz w:val="20"/>
                <w:szCs w:val="20"/>
              </w:rPr>
              <w:t xml:space="preserve">1 hour</w:t>
            </w:r>
          </w:p>
        </w:tc>
        <w:tc>
          <w:tcPr>
            <w:tcMar>
              <w:top w:type="dxa" w:w="80"/>
              <w:left w:type="dxa" w:w="120"/>
              <w:bottom w:type="dxa" w:w="80"/>
              <w:right w:type="dxa" w:w="120"/>
            </w:tcMar>
          </w:tcPr>
          <w:p>
            <w:pPr>
              <w:spacing w:after="40"/>
              <w:jc w:val="center"/>
            </w:pPr>
            <w:r>
              <w:rPr>
                <w:b w:val="false"/>
                <w:bCs w:val="false"/>
                <w:color w:val="1B1B1F"/>
                <w:sz w:val="20"/>
                <w:szCs w:val="20"/>
              </w:rPr>
              <w:t xml:space="preserve">PB-1</w:t>
            </w:r>
          </w:p>
        </w:tc>
      </w:tr>
      <w:tr>
        <w:tc>
          <w:tcPr>
            <w:shd w:fill="F3F6FC" w:color="auto" w:val="clear"/>
            <w:tcMar>
              <w:top w:type="dxa" w:w="80"/>
              <w:left w:type="dxa" w:w="120"/>
              <w:bottom w:type="dxa" w:w="80"/>
              <w:right w:type="dxa" w:w="120"/>
            </w:tcMar>
          </w:tcPr>
          <w:p>
            <w:pPr>
              <w:spacing w:after="40"/>
              <w:jc w:val="center"/>
            </w:pPr>
            <w:r>
              <w:rPr>
                <w:b/>
                <w:bCs/>
                <w:color w:val="1B1B1F"/>
                <w:sz w:val="20"/>
                <w:szCs w:val="20"/>
              </w:rPr>
              <w:t xml:space="preserve">AL-02</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Prompt-injection / jailbreak pattern detected against Copilot, Copilot Studio agent or Foundry endpoint.</w:t>
            </w:r>
          </w:p>
        </w:tc>
        <w:tc>
          <w:tcPr>
            <w:shd w:fill="F3F6FC" w:color="auto" w:val="clear"/>
            <w:tcMar>
              <w:top w:type="dxa" w:w="80"/>
              <w:left w:type="dxa" w:w="120"/>
              <w:bottom w:type="dxa" w:w="80"/>
              <w:right w:type="dxa" w:w="120"/>
            </w:tcMar>
          </w:tcPr>
          <w:p>
            <w:pPr>
              <w:spacing w:after="40"/>
              <w:jc w:val="center"/>
            </w:pPr>
            <w:r>
              <w:rPr>
                <w:b/>
                <w:bCs/>
                <w:color w:val="E2A72E"/>
                <w:sz w:val="20"/>
                <w:szCs w:val="20"/>
              </w:rPr>
              <w:t xml:space="preserve">P2</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4 hours</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PB-2</w:t>
            </w:r>
          </w:p>
        </w:tc>
      </w:tr>
      <w:tr>
        <w:tc>
          <w:tcPr>
            <w:tcMar>
              <w:top w:type="dxa" w:w="80"/>
              <w:left w:type="dxa" w:w="120"/>
              <w:bottom w:type="dxa" w:w="80"/>
              <w:right w:type="dxa" w:w="120"/>
            </w:tcMar>
          </w:tcPr>
          <w:p>
            <w:pPr>
              <w:spacing w:after="40"/>
              <w:jc w:val="center"/>
            </w:pPr>
            <w:r>
              <w:rPr>
                <w:b/>
                <w:bCs/>
                <w:color w:val="1B1B1F"/>
                <w:sz w:val="20"/>
                <w:szCs w:val="20"/>
              </w:rPr>
              <w:t xml:space="preserve">AL-03</w:t>
            </w:r>
          </w:p>
        </w:tc>
        <w:tc>
          <w:tcPr>
            <w:tcMar>
              <w:top w:type="dxa" w:w="80"/>
              <w:left w:type="dxa" w:w="120"/>
              <w:bottom w:type="dxa" w:w="80"/>
              <w:right w:type="dxa" w:w="120"/>
            </w:tcMar>
          </w:tcPr>
          <w:p>
            <w:pPr>
              <w:spacing w:after="40"/>
              <w:jc w:val="left"/>
            </w:pPr>
            <w:r>
              <w:rPr>
                <w:b w:val="false"/>
                <w:bCs w:val="false"/>
                <w:color w:val="1B1B1F"/>
                <w:sz w:val="20"/>
                <w:szCs w:val="20"/>
              </w:rPr>
              <w:t xml:space="preserve">Connection to unsanctioned AI SaaS endpoint from corporate identity or network.</w:t>
            </w:r>
          </w:p>
        </w:tc>
        <w:tc>
          <w:tcPr>
            <w:tcMar>
              <w:top w:type="dxa" w:w="80"/>
              <w:left w:type="dxa" w:w="120"/>
              <w:bottom w:type="dxa" w:w="80"/>
              <w:right w:type="dxa" w:w="120"/>
            </w:tcMar>
          </w:tcPr>
          <w:p>
            <w:pPr>
              <w:spacing w:after="40"/>
              <w:jc w:val="center"/>
            </w:pPr>
            <w:r>
              <w:rPr>
                <w:b/>
                <w:bCs/>
                <w:color w:val="E2A72E"/>
                <w:sz w:val="20"/>
                <w:szCs w:val="20"/>
              </w:rPr>
              <w:t xml:space="preserve">P3</w:t>
            </w:r>
          </w:p>
        </w:tc>
        <w:tc>
          <w:tcPr>
            <w:tcMar>
              <w:top w:type="dxa" w:w="80"/>
              <w:left w:type="dxa" w:w="120"/>
              <w:bottom w:type="dxa" w:w="80"/>
              <w:right w:type="dxa" w:w="120"/>
            </w:tcMar>
          </w:tcPr>
          <w:p>
            <w:pPr>
              <w:spacing w:after="40"/>
              <w:jc w:val="center"/>
            </w:pPr>
            <w:r>
              <w:rPr>
                <w:b w:val="false"/>
                <w:bCs w:val="false"/>
                <w:color w:val="1B1B1F"/>
                <w:sz w:val="20"/>
                <w:szCs w:val="20"/>
              </w:rPr>
              <w:t xml:space="preserve">1 business day</w:t>
            </w:r>
          </w:p>
        </w:tc>
        <w:tc>
          <w:tcPr>
            <w:tcMar>
              <w:top w:type="dxa" w:w="80"/>
              <w:left w:type="dxa" w:w="120"/>
              <w:bottom w:type="dxa" w:w="80"/>
              <w:right w:type="dxa" w:w="120"/>
            </w:tcMar>
          </w:tcPr>
          <w:p>
            <w:pPr>
              <w:spacing w:after="40"/>
              <w:jc w:val="center"/>
            </w:pPr>
            <w:r>
              <w:rPr>
                <w:b w:val="false"/>
                <w:bCs w:val="false"/>
                <w:color w:val="1B1B1F"/>
                <w:sz w:val="20"/>
                <w:szCs w:val="20"/>
              </w:rPr>
              <w:t xml:space="preserve">PB-3</w:t>
            </w:r>
          </w:p>
        </w:tc>
      </w:tr>
      <w:tr>
        <w:tc>
          <w:tcPr>
            <w:shd w:fill="F3F6FC" w:color="auto" w:val="clear"/>
            <w:tcMar>
              <w:top w:type="dxa" w:w="80"/>
              <w:left w:type="dxa" w:w="120"/>
              <w:bottom w:type="dxa" w:w="80"/>
              <w:right w:type="dxa" w:w="120"/>
            </w:tcMar>
          </w:tcPr>
          <w:p>
            <w:pPr>
              <w:spacing w:after="40"/>
              <w:jc w:val="center"/>
            </w:pPr>
            <w:r>
              <w:rPr>
                <w:b/>
                <w:bCs/>
                <w:color w:val="1B1B1F"/>
                <w:sz w:val="20"/>
                <w:szCs w:val="20"/>
              </w:rPr>
              <w:t xml:space="preserve">AL-04</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Secret detected in code commit or AI prompt; push protection bypassed; .env / credentials in IDE prompt.</w:t>
            </w:r>
          </w:p>
        </w:tc>
        <w:tc>
          <w:tcPr>
            <w:shd w:fill="F3F6FC" w:color="auto" w:val="clear"/>
            <w:tcMar>
              <w:top w:type="dxa" w:w="80"/>
              <w:left w:type="dxa" w:w="120"/>
              <w:bottom w:type="dxa" w:w="80"/>
              <w:right w:type="dxa" w:w="120"/>
            </w:tcMar>
          </w:tcPr>
          <w:p>
            <w:pPr>
              <w:spacing w:after="40"/>
              <w:jc w:val="center"/>
            </w:pPr>
            <w:r>
              <w:rPr>
                <w:b/>
                <w:bCs/>
                <w:color w:val="B23A3A"/>
                <w:sz w:val="20"/>
                <w:szCs w:val="20"/>
              </w:rPr>
              <w:t xml:space="preserve">P1</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1 hour</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PB-4</w:t>
            </w:r>
          </w:p>
        </w:tc>
      </w:tr>
      <w:tr>
        <w:tc>
          <w:tcPr>
            <w:tcMar>
              <w:top w:type="dxa" w:w="80"/>
              <w:left w:type="dxa" w:w="120"/>
              <w:bottom w:type="dxa" w:w="80"/>
              <w:right w:type="dxa" w:w="120"/>
            </w:tcMar>
          </w:tcPr>
          <w:p>
            <w:pPr>
              <w:spacing w:after="40"/>
              <w:jc w:val="center"/>
            </w:pPr>
            <w:r>
              <w:rPr>
                <w:b/>
                <w:bCs/>
                <w:color w:val="1B1B1F"/>
                <w:sz w:val="20"/>
                <w:szCs w:val="20"/>
              </w:rPr>
              <w:t xml:space="preserve">AL-05</w:t>
            </w:r>
          </w:p>
        </w:tc>
        <w:tc>
          <w:tcPr>
            <w:tcMar>
              <w:top w:type="dxa" w:w="80"/>
              <w:left w:type="dxa" w:w="120"/>
              <w:bottom w:type="dxa" w:w="80"/>
              <w:right w:type="dxa" w:w="120"/>
            </w:tcMar>
          </w:tcPr>
          <w:p>
            <w:pPr>
              <w:spacing w:after="40"/>
              <w:jc w:val="left"/>
            </w:pPr>
            <w:r>
              <w:rPr>
                <w:b w:val="false"/>
                <w:bCs w:val="false"/>
                <w:color w:val="1B1B1F"/>
                <w:sz w:val="20"/>
                <w:szCs w:val="20"/>
              </w:rPr>
              <w:t xml:space="preserve">Foundry / Azure OpenAI consumption breaches 90% of monthly budget on a project; Opus per-day cap exceeded.</w:t>
            </w:r>
          </w:p>
        </w:tc>
        <w:tc>
          <w:tcPr>
            <w:tcMar>
              <w:top w:type="dxa" w:w="80"/>
              <w:left w:type="dxa" w:w="120"/>
              <w:bottom w:type="dxa" w:w="80"/>
              <w:right w:type="dxa" w:w="120"/>
            </w:tcMar>
          </w:tcPr>
          <w:p>
            <w:pPr>
              <w:spacing w:after="40"/>
              <w:jc w:val="center"/>
            </w:pPr>
            <w:r>
              <w:rPr>
                <w:b/>
                <w:bCs/>
                <w:color w:val="E2A72E"/>
                <w:sz w:val="20"/>
                <w:szCs w:val="20"/>
              </w:rPr>
              <w:t xml:space="preserve">P2</w:t>
            </w:r>
          </w:p>
        </w:tc>
        <w:tc>
          <w:tcPr>
            <w:tcMar>
              <w:top w:type="dxa" w:w="80"/>
              <w:left w:type="dxa" w:w="120"/>
              <w:bottom w:type="dxa" w:w="80"/>
              <w:right w:type="dxa" w:w="120"/>
            </w:tcMar>
          </w:tcPr>
          <w:p>
            <w:pPr>
              <w:spacing w:after="40"/>
              <w:jc w:val="center"/>
            </w:pPr>
            <w:r>
              <w:rPr>
                <w:b w:val="false"/>
                <w:bCs w:val="false"/>
                <w:color w:val="1B1B1F"/>
                <w:sz w:val="20"/>
                <w:szCs w:val="20"/>
              </w:rPr>
              <w:t xml:space="preserve">Same business day</w:t>
            </w:r>
          </w:p>
        </w:tc>
        <w:tc>
          <w:tcPr>
            <w:tcMar>
              <w:top w:type="dxa" w:w="80"/>
              <w:left w:type="dxa" w:w="120"/>
              <w:bottom w:type="dxa" w:w="80"/>
              <w:right w:type="dxa" w:w="120"/>
            </w:tcMar>
          </w:tcPr>
          <w:p>
            <w:pPr>
              <w:spacing w:after="40"/>
              <w:jc w:val="center"/>
            </w:pPr>
            <w:r>
              <w:rPr>
                <w:b w:val="false"/>
                <w:bCs w:val="false"/>
                <w:color w:val="1B1B1F"/>
                <w:sz w:val="20"/>
                <w:szCs w:val="20"/>
              </w:rPr>
              <w:t xml:space="preserve">PB-5</w:t>
            </w:r>
          </w:p>
        </w:tc>
      </w:tr>
      <w:tr>
        <w:tc>
          <w:tcPr>
            <w:shd w:fill="F3F6FC" w:color="auto" w:val="clear"/>
            <w:tcMar>
              <w:top w:type="dxa" w:w="80"/>
              <w:left w:type="dxa" w:w="120"/>
              <w:bottom w:type="dxa" w:w="80"/>
              <w:right w:type="dxa" w:w="120"/>
            </w:tcMar>
          </w:tcPr>
          <w:p>
            <w:pPr>
              <w:spacing w:after="40"/>
              <w:jc w:val="center"/>
            </w:pPr>
            <w:r>
              <w:rPr>
                <w:b/>
                <w:bCs/>
                <w:color w:val="1B1B1F"/>
                <w:sz w:val="20"/>
                <w:szCs w:val="20"/>
              </w:rPr>
              <w:t xml:space="preserve">AL-06</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Use-case appears to fall under a Tier 4 (prohibited) pattern (covert AI, autonomous decisioning, behavioural scoring).</w:t>
            </w:r>
          </w:p>
        </w:tc>
        <w:tc>
          <w:tcPr>
            <w:shd w:fill="F3F6FC" w:color="auto" w:val="clear"/>
            <w:tcMar>
              <w:top w:type="dxa" w:w="80"/>
              <w:left w:type="dxa" w:w="120"/>
              <w:bottom w:type="dxa" w:w="80"/>
              <w:right w:type="dxa" w:w="120"/>
            </w:tcMar>
          </w:tcPr>
          <w:p>
            <w:pPr>
              <w:spacing w:after="40"/>
              <w:jc w:val="center"/>
            </w:pPr>
            <w:r>
              <w:rPr>
                <w:b/>
                <w:bCs/>
                <w:color w:val="B23A3A"/>
                <w:sz w:val="20"/>
                <w:szCs w:val="20"/>
              </w:rPr>
              <w:t xml:space="preserve">P1</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1 hour</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PB-6</w:t>
            </w:r>
          </w:p>
        </w:tc>
      </w:tr>
      <w:tr>
        <w:tc>
          <w:tcPr>
            <w:tcMar>
              <w:top w:type="dxa" w:w="80"/>
              <w:left w:type="dxa" w:w="120"/>
              <w:bottom w:type="dxa" w:w="80"/>
              <w:right w:type="dxa" w:w="120"/>
            </w:tcMar>
          </w:tcPr>
          <w:p>
            <w:pPr>
              <w:spacing w:after="40"/>
              <w:jc w:val="center"/>
            </w:pPr>
            <w:r>
              <w:rPr>
                <w:b/>
                <w:bCs/>
                <w:color w:val="1B1B1F"/>
                <w:sz w:val="20"/>
                <w:szCs w:val="20"/>
              </w:rPr>
              <w:t xml:space="preserve">AL-07</w:t>
            </w:r>
          </w:p>
        </w:tc>
        <w:tc>
          <w:tcPr>
            <w:tcMar>
              <w:top w:type="dxa" w:w="80"/>
              <w:left w:type="dxa" w:w="120"/>
              <w:bottom w:type="dxa" w:w="80"/>
              <w:right w:type="dxa" w:w="120"/>
            </w:tcMar>
          </w:tcPr>
          <w:p>
            <w:pPr>
              <w:spacing w:after="40"/>
              <w:jc w:val="left"/>
            </w:pPr>
            <w:r>
              <w:rPr>
                <w:b w:val="false"/>
                <w:bCs w:val="false"/>
                <w:color w:val="1B1B1F"/>
                <w:sz w:val="20"/>
                <w:szCs w:val="20"/>
              </w:rPr>
              <w:t xml:space="preserve">Material model behaviour drift / quality regression on a registered AI system (eval scores, refusal rate, toxicity rate).</w:t>
            </w:r>
          </w:p>
        </w:tc>
        <w:tc>
          <w:tcPr>
            <w:tcMar>
              <w:top w:type="dxa" w:w="80"/>
              <w:left w:type="dxa" w:w="120"/>
              <w:bottom w:type="dxa" w:w="80"/>
              <w:right w:type="dxa" w:w="120"/>
            </w:tcMar>
          </w:tcPr>
          <w:p>
            <w:pPr>
              <w:spacing w:after="40"/>
              <w:jc w:val="center"/>
            </w:pPr>
            <w:r>
              <w:rPr>
                <w:b/>
                <w:bCs/>
                <w:color w:val="E2A72E"/>
                <w:sz w:val="20"/>
                <w:szCs w:val="20"/>
              </w:rPr>
              <w:t xml:space="preserve">P3</w:t>
            </w:r>
          </w:p>
        </w:tc>
        <w:tc>
          <w:tcPr>
            <w:tcMar>
              <w:top w:type="dxa" w:w="80"/>
              <w:left w:type="dxa" w:w="120"/>
              <w:bottom w:type="dxa" w:w="80"/>
              <w:right w:type="dxa" w:w="120"/>
            </w:tcMar>
          </w:tcPr>
          <w:p>
            <w:pPr>
              <w:spacing w:after="40"/>
              <w:jc w:val="center"/>
            </w:pPr>
            <w:r>
              <w:rPr>
                <w:b w:val="false"/>
                <w:bCs w:val="false"/>
                <w:color w:val="1B1B1F"/>
                <w:sz w:val="20"/>
                <w:szCs w:val="20"/>
              </w:rPr>
              <w:t xml:space="preserve">1 business day</w:t>
            </w:r>
          </w:p>
        </w:tc>
        <w:tc>
          <w:tcPr>
            <w:tcMar>
              <w:top w:type="dxa" w:w="80"/>
              <w:left w:type="dxa" w:w="120"/>
              <w:bottom w:type="dxa" w:w="80"/>
              <w:right w:type="dxa" w:w="120"/>
            </w:tcMar>
          </w:tcPr>
          <w:p>
            <w:pPr>
              <w:spacing w:after="40"/>
              <w:jc w:val="center"/>
            </w:pPr>
            <w:r>
              <w:rPr>
                <w:b w:val="false"/>
                <w:bCs w:val="false"/>
                <w:color w:val="1B1B1F"/>
                <w:sz w:val="20"/>
                <w:szCs w:val="20"/>
              </w:rPr>
              <w:t xml:space="preserve">PB-7</w:t>
            </w:r>
          </w:p>
        </w:tc>
      </w:tr>
      <w:tr>
        <w:tc>
          <w:tcPr>
            <w:shd w:fill="F3F6FC" w:color="auto" w:val="clear"/>
            <w:tcMar>
              <w:top w:type="dxa" w:w="80"/>
              <w:left w:type="dxa" w:w="120"/>
              <w:bottom w:type="dxa" w:w="80"/>
              <w:right w:type="dxa" w:w="120"/>
            </w:tcMar>
          </w:tcPr>
          <w:p>
            <w:pPr>
              <w:spacing w:after="40"/>
              <w:jc w:val="center"/>
            </w:pPr>
            <w:r>
              <w:rPr>
                <w:b/>
                <w:bCs/>
                <w:color w:val="1B1B1F"/>
                <w:sz w:val="20"/>
                <w:szCs w:val="20"/>
              </w:rPr>
              <w:t xml:space="preserve">AL-08</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Oversharing scan finds a Copilot user surfaced content from a SharePoint site flagged as misconfigured.</w:t>
            </w:r>
          </w:p>
        </w:tc>
        <w:tc>
          <w:tcPr>
            <w:shd w:fill="F3F6FC" w:color="auto" w:val="clear"/>
            <w:tcMar>
              <w:top w:type="dxa" w:w="80"/>
              <w:left w:type="dxa" w:w="120"/>
              <w:bottom w:type="dxa" w:w="80"/>
              <w:right w:type="dxa" w:w="120"/>
            </w:tcMar>
          </w:tcPr>
          <w:p>
            <w:pPr>
              <w:spacing w:after="40"/>
              <w:jc w:val="center"/>
            </w:pPr>
            <w:r>
              <w:rPr>
                <w:b/>
                <w:bCs/>
                <w:color w:val="E2A72E"/>
                <w:sz w:val="20"/>
                <w:szCs w:val="20"/>
              </w:rPr>
              <w:t xml:space="preserve">P3</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1 business day</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PB-1</w:t>
            </w:r>
          </w:p>
        </w:tc>
      </w:tr>
      <w:tr>
        <w:tc>
          <w:tcPr>
            <w:tcMar>
              <w:top w:type="dxa" w:w="80"/>
              <w:left w:type="dxa" w:w="120"/>
              <w:bottom w:type="dxa" w:w="80"/>
              <w:right w:type="dxa" w:w="120"/>
            </w:tcMar>
          </w:tcPr>
          <w:p>
            <w:pPr>
              <w:spacing w:after="40"/>
              <w:jc w:val="center"/>
            </w:pPr>
            <w:r>
              <w:rPr>
                <w:b/>
                <w:bCs/>
                <w:color w:val="1B1B1F"/>
                <w:sz w:val="20"/>
                <w:szCs w:val="20"/>
              </w:rPr>
              <w:t xml:space="preserve">AL-09</w:t>
            </w:r>
          </w:p>
        </w:tc>
        <w:tc>
          <w:tcPr>
            <w:tcMar>
              <w:top w:type="dxa" w:w="80"/>
              <w:left w:type="dxa" w:w="120"/>
              <w:bottom w:type="dxa" w:w="80"/>
              <w:right w:type="dxa" w:w="120"/>
            </w:tcMar>
          </w:tcPr>
          <w:p>
            <w:pPr>
              <w:spacing w:after="40"/>
              <w:jc w:val="left"/>
            </w:pPr>
            <w:r>
              <w:rPr>
                <w:b w:val="false"/>
                <w:bCs w:val="false"/>
                <w:color w:val="1B1B1F"/>
                <w:sz w:val="20"/>
                <w:szCs w:val="20"/>
              </w:rPr>
              <w:t xml:space="preserve">Citizen-developer agent published outside intake; new high-risk connector enabled; Power Platform DLP violation.</w:t>
            </w:r>
          </w:p>
        </w:tc>
        <w:tc>
          <w:tcPr>
            <w:tcMar>
              <w:top w:type="dxa" w:w="80"/>
              <w:left w:type="dxa" w:w="120"/>
              <w:bottom w:type="dxa" w:w="80"/>
              <w:right w:type="dxa" w:w="120"/>
            </w:tcMar>
          </w:tcPr>
          <w:p>
            <w:pPr>
              <w:spacing w:after="40"/>
              <w:jc w:val="center"/>
            </w:pPr>
            <w:r>
              <w:rPr>
                <w:b/>
                <w:bCs/>
                <w:color w:val="E2A72E"/>
                <w:sz w:val="20"/>
                <w:szCs w:val="20"/>
              </w:rPr>
              <w:t xml:space="preserve">P3</w:t>
            </w:r>
          </w:p>
        </w:tc>
        <w:tc>
          <w:tcPr>
            <w:tcMar>
              <w:top w:type="dxa" w:w="80"/>
              <w:left w:type="dxa" w:w="120"/>
              <w:bottom w:type="dxa" w:w="80"/>
              <w:right w:type="dxa" w:w="120"/>
            </w:tcMar>
          </w:tcPr>
          <w:p>
            <w:pPr>
              <w:spacing w:after="40"/>
              <w:jc w:val="center"/>
            </w:pPr>
            <w:r>
              <w:rPr>
                <w:b w:val="false"/>
                <w:bCs w:val="false"/>
                <w:color w:val="1B1B1F"/>
                <w:sz w:val="20"/>
                <w:szCs w:val="20"/>
              </w:rPr>
              <w:t xml:space="preserve">1 business day</w:t>
            </w:r>
          </w:p>
        </w:tc>
        <w:tc>
          <w:tcPr>
            <w:tcMar>
              <w:top w:type="dxa" w:w="80"/>
              <w:left w:type="dxa" w:w="120"/>
              <w:bottom w:type="dxa" w:w="80"/>
              <w:right w:type="dxa" w:w="120"/>
            </w:tcMar>
          </w:tcPr>
          <w:p>
            <w:pPr>
              <w:spacing w:after="40"/>
              <w:jc w:val="center"/>
            </w:pPr>
            <w:r>
              <w:rPr>
                <w:b w:val="false"/>
                <w:bCs w:val="false"/>
                <w:color w:val="1B1B1F"/>
                <w:sz w:val="20"/>
                <w:szCs w:val="20"/>
              </w:rPr>
              <w:t xml:space="preserve">PB-3 / PB-6</w:t>
            </w:r>
          </w:p>
        </w:tc>
      </w:tr>
      <w:tr>
        <w:tc>
          <w:tcPr>
            <w:shd w:fill="F3F6FC" w:color="auto" w:val="clear"/>
            <w:tcMar>
              <w:top w:type="dxa" w:w="80"/>
              <w:left w:type="dxa" w:w="120"/>
              <w:bottom w:type="dxa" w:w="80"/>
              <w:right w:type="dxa" w:w="120"/>
            </w:tcMar>
          </w:tcPr>
          <w:p>
            <w:pPr>
              <w:spacing w:after="40"/>
              <w:jc w:val="center"/>
            </w:pPr>
            <w:r>
              <w:rPr>
                <w:b/>
                <w:bCs/>
                <w:color w:val="1B1B1F"/>
                <w:sz w:val="20"/>
                <w:szCs w:val="20"/>
              </w:rPr>
              <w:t xml:space="preserve">AL-10</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Human report submitted via AUP §10 channels (auto-converted into a Sentinel incident for SOC routing).</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P1–P4</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Per AUP</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Per type</w:t>
            </w:r>
          </w:p>
        </w:tc>
      </w:tr>
    </w:tbl>
    <w:p>
      <w:pPr>
        <w:pStyle w:val="Heading1"/>
        <w:spacing w:after="160" w:before="360"/>
      </w:pPr>
      <w:r>
        <w:rPr>
          <w:b/>
          <w:bCs/>
          <w:color w:val="1F3864"/>
          <w:sz w:val="30"/>
          <w:szCs w:val="30"/>
        </w:rPr>
        <w:t xml:space="preserve">5. Triage Workflow</w:t>
      </w:r>
    </w:p>
    <w:p>
      <w:pPr>
        <w:spacing w:after="120" w:line="300"/>
      </w:pPr>
      <w:r>
        <w:t xml:space="preserve">Every AI alert or report follows the same six steps. SLA clocks start at the moment the alert is created in Sentinel or ServiceNow.</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tblGrid>
      <w:tr>
        <w:trPr>
          <w:tblHeader/>
        </w:trPr>
        <w:tc>
          <w:tcPr>
            <w:tcW w:type="pct" w:w="14%"/>
            <w:shd w:fill="1F3864" w:color="auto" w:val="clear"/>
            <w:tcMar>
              <w:top w:type="dxa" w:w="80"/>
              <w:left w:type="dxa" w:w="120"/>
              <w:bottom w:type="dxa" w:w="80"/>
              <w:right w:type="dxa" w:w="120"/>
            </w:tcMar>
          </w:tcPr>
          <w:p>
            <w:pPr>
              <w:spacing w:after="40"/>
              <w:jc w:val="left"/>
            </w:pPr>
            <w:r>
              <w:rPr>
                <w:b/>
                <w:bCs/>
                <w:color w:val="FFFFFF"/>
                <w:sz w:val="20"/>
                <w:szCs w:val="20"/>
              </w:rPr>
              <w:t xml:space="preserve">Step</w:t>
            </w:r>
          </w:p>
        </w:tc>
        <w:tc>
          <w:tcPr>
            <w:tcW w:type="pct" w:w="70%"/>
            <w:shd w:fill="1F3864" w:color="auto" w:val="clear"/>
            <w:tcMar>
              <w:top w:type="dxa" w:w="80"/>
              <w:left w:type="dxa" w:w="120"/>
              <w:bottom w:type="dxa" w:w="80"/>
              <w:right w:type="dxa" w:w="120"/>
            </w:tcMar>
          </w:tcPr>
          <w:p>
            <w:pPr>
              <w:spacing w:after="40"/>
              <w:jc w:val="left"/>
            </w:pPr>
            <w:r>
              <w:rPr>
                <w:b/>
                <w:bCs/>
                <w:color w:val="FFFFFF"/>
                <w:sz w:val="20"/>
                <w:szCs w:val="20"/>
              </w:rPr>
              <w:t xml:space="preserve">What happens</w:t>
            </w:r>
          </w:p>
        </w:tc>
        <w:tc>
          <w:tcPr>
            <w:tcW w:type="pct" w:w="16%"/>
            <w:shd w:fill="1F3864" w:color="auto" w:val="clear"/>
            <w:tcMar>
              <w:top w:type="dxa" w:w="80"/>
              <w:left w:type="dxa" w:w="120"/>
              <w:bottom w:type="dxa" w:w="80"/>
              <w:right w:type="dxa" w:w="120"/>
            </w:tcMar>
          </w:tcPr>
          <w:p>
            <w:pPr>
              <w:spacing w:after="40"/>
              <w:jc w:val="left"/>
            </w:pPr>
            <w:r>
              <w:rPr>
                <w:b/>
                <w:bCs/>
                <w:color w:val="FFFFFF"/>
                <w:sz w:val="20"/>
                <w:szCs w:val="20"/>
              </w:rPr>
              <w:t xml:space="preserve">Owner</w:t>
            </w:r>
          </w:p>
        </w:tc>
      </w:tr>
      <w:tr>
        <w:tc>
          <w:tcPr>
            <w:tcMar>
              <w:top w:type="dxa" w:w="80"/>
              <w:left w:type="dxa" w:w="120"/>
              <w:bottom w:type="dxa" w:w="80"/>
              <w:right w:type="dxa" w:w="120"/>
            </w:tcMar>
          </w:tcPr>
          <w:p>
            <w:pPr>
              <w:spacing w:after="40"/>
              <w:jc w:val="left"/>
            </w:pPr>
            <w:r>
              <w:rPr>
                <w:b/>
                <w:bCs/>
                <w:color w:val="1B1B1F"/>
                <w:sz w:val="20"/>
                <w:szCs w:val="20"/>
              </w:rPr>
              <w:t xml:space="preserve">1. Acknowledge</w:t>
            </w:r>
          </w:p>
        </w:tc>
        <w:tc>
          <w:tcPr>
            <w:tcMar>
              <w:top w:type="dxa" w:w="80"/>
              <w:left w:type="dxa" w:w="120"/>
              <w:bottom w:type="dxa" w:w="80"/>
              <w:right w:type="dxa" w:w="120"/>
            </w:tcMar>
          </w:tcPr>
          <w:p>
            <w:pPr>
              <w:spacing w:after="40"/>
              <w:jc w:val="left"/>
            </w:pPr>
            <w:r>
              <w:rPr>
                <w:b w:val="false"/>
                <w:bCs w:val="false"/>
                <w:color w:val="1B1B1F"/>
                <w:sz w:val="20"/>
                <w:szCs w:val="20"/>
              </w:rPr>
              <w:t xml:space="preserve">SOC analyst opens the alert, confirms it is not a duplicate, marks it under investigation, and starts the SLA clock.</w:t>
            </w:r>
          </w:p>
        </w:tc>
        <w:tc>
          <w:tcPr>
            <w:tcMar>
              <w:top w:type="dxa" w:w="80"/>
              <w:left w:type="dxa" w:w="120"/>
              <w:bottom w:type="dxa" w:w="80"/>
              <w:right w:type="dxa" w:w="120"/>
            </w:tcMar>
          </w:tcPr>
          <w:p>
            <w:pPr>
              <w:spacing w:after="40"/>
              <w:jc w:val="left"/>
            </w:pPr>
            <w:r>
              <w:rPr>
                <w:b w:val="false"/>
                <w:bCs w:val="false"/>
                <w:color w:val="1B1B1F"/>
                <w:sz w:val="20"/>
                <w:szCs w:val="20"/>
              </w:rPr>
              <w:t xml:space="preserve">SOC</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2. Classify</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Confirm severity (per §4). Tag the alert with the right playbook ID. If P1 / P2, page the on-call SOC lead and the AI &amp; Automation duty contact.</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SOC</w:t>
            </w:r>
          </w:p>
        </w:tc>
      </w:tr>
      <w:tr>
        <w:tc>
          <w:tcPr>
            <w:tcMar>
              <w:top w:type="dxa" w:w="80"/>
              <w:left w:type="dxa" w:w="120"/>
              <w:bottom w:type="dxa" w:w="80"/>
              <w:right w:type="dxa" w:w="120"/>
            </w:tcMar>
          </w:tcPr>
          <w:p>
            <w:pPr>
              <w:spacing w:after="40"/>
              <w:jc w:val="left"/>
            </w:pPr>
            <w:r>
              <w:rPr>
                <w:b/>
                <w:bCs/>
                <w:color w:val="1B1B1F"/>
                <w:sz w:val="20"/>
                <w:szCs w:val="20"/>
              </w:rPr>
              <w:t xml:space="preserve">3. Contain</w:t>
            </w:r>
          </w:p>
        </w:tc>
        <w:tc>
          <w:tcPr>
            <w:tcMar>
              <w:top w:type="dxa" w:w="80"/>
              <w:left w:type="dxa" w:w="120"/>
              <w:bottom w:type="dxa" w:w="80"/>
              <w:right w:type="dxa" w:w="120"/>
            </w:tcMar>
          </w:tcPr>
          <w:p>
            <w:pPr>
              <w:spacing w:after="40"/>
              <w:jc w:val="left"/>
            </w:pPr>
            <w:r>
              <w:rPr>
                <w:b w:val="false"/>
                <w:bCs w:val="false"/>
                <w:color w:val="1B1B1F"/>
                <w:sz w:val="20"/>
                <w:szCs w:val="20"/>
              </w:rPr>
              <w:t xml:space="preserve">Apply the immediate containment steps from the relevant playbook in §6. Preserve evidence — do not delete logs or messages.</w:t>
            </w:r>
          </w:p>
        </w:tc>
        <w:tc>
          <w:tcPr>
            <w:tcMar>
              <w:top w:type="dxa" w:w="80"/>
              <w:left w:type="dxa" w:w="120"/>
              <w:bottom w:type="dxa" w:w="80"/>
              <w:right w:type="dxa" w:w="120"/>
            </w:tcMar>
          </w:tcPr>
          <w:p>
            <w:pPr>
              <w:spacing w:after="40"/>
              <w:jc w:val="left"/>
            </w:pPr>
            <w:r>
              <w:rPr>
                <w:b w:val="false"/>
                <w:bCs w:val="false"/>
                <w:color w:val="1B1B1F"/>
                <w:sz w:val="20"/>
                <w:szCs w:val="20"/>
              </w:rPr>
              <w:t xml:space="preserve">SOC + AI Platform</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4. Investigate</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Establish scope (who, what, when, where, how many), root cause, and whether personal data, customer impact or regulator relevance applies.</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SOC + DPO + Use-case owner</w:t>
            </w:r>
          </w:p>
        </w:tc>
      </w:tr>
      <w:tr>
        <w:tc>
          <w:tcPr>
            <w:tcMar>
              <w:top w:type="dxa" w:w="80"/>
              <w:left w:type="dxa" w:w="120"/>
              <w:bottom w:type="dxa" w:w="80"/>
              <w:right w:type="dxa" w:w="120"/>
            </w:tcMar>
          </w:tcPr>
          <w:p>
            <w:pPr>
              <w:spacing w:after="40"/>
              <w:jc w:val="left"/>
            </w:pPr>
            <w:r>
              <w:rPr>
                <w:b/>
                <w:bCs/>
                <w:color w:val="1B1B1F"/>
                <w:sz w:val="20"/>
                <w:szCs w:val="20"/>
              </w:rPr>
              <w:t xml:space="preserve">5. Resolve</w:t>
            </w:r>
          </w:p>
        </w:tc>
        <w:tc>
          <w:tcPr>
            <w:tcMar>
              <w:top w:type="dxa" w:w="80"/>
              <w:left w:type="dxa" w:w="120"/>
              <w:bottom w:type="dxa" w:w="80"/>
              <w:right w:type="dxa" w:w="120"/>
            </w:tcMar>
          </w:tcPr>
          <w:p>
            <w:pPr>
              <w:spacing w:after="40"/>
              <w:jc w:val="left"/>
            </w:pPr>
            <w:r>
              <w:rPr>
                <w:b w:val="false"/>
                <w:bCs w:val="false"/>
                <w:color w:val="1B1B1F"/>
                <w:sz w:val="20"/>
                <w:szCs w:val="20"/>
              </w:rPr>
              <w:t xml:space="preserve">Restore normal service. Apply or schedule the long-term fix. Close the alert with a written summary in ServiceNow.</w:t>
            </w:r>
          </w:p>
        </w:tc>
        <w:tc>
          <w:tcPr>
            <w:tcMar>
              <w:top w:type="dxa" w:w="80"/>
              <w:left w:type="dxa" w:w="120"/>
              <w:bottom w:type="dxa" w:w="80"/>
              <w:right w:type="dxa" w:w="120"/>
            </w:tcMar>
          </w:tcPr>
          <w:p>
            <w:pPr>
              <w:spacing w:after="40"/>
              <w:jc w:val="left"/>
            </w:pPr>
            <w:r>
              <w:rPr>
                <w:b w:val="false"/>
                <w:bCs w:val="false"/>
                <w:color w:val="1B1B1F"/>
                <w:sz w:val="20"/>
                <w:szCs w:val="20"/>
              </w:rPr>
              <w:t xml:space="preserve">SOC + AI Platform + Owner</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6. Review</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Post-incident review (PIR) per §10 within 5 business days for P1 / P2; within 10 business days for P3. Update controls, the AUP and this Playbook.</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AI &amp; Automation</w:t>
            </w:r>
          </w:p>
        </w:tc>
      </w:tr>
    </w:tbl>
    <w:p>
      <w:pPr>
        <w:pStyle w:val="Heading1"/>
        <w:spacing w:after="160" w:before="360"/>
      </w:pPr>
      <w:r>
        <w:rPr>
          <w:b/>
          <w:bCs/>
          <w:color w:val="1F3864"/>
          <w:sz w:val="30"/>
          <w:szCs w:val="30"/>
        </w:rPr>
        <w:t xml:space="preserve">6. Incident Playbooks</w:t>
      </w:r>
    </w:p>
    <w:p>
      <w:pPr>
        <w:spacing w:after="80"/>
      </w:pPr>
      <w:r>
        <w:rPr>
          <w:i/>
          <w:iCs/>
          <w:color w:val="5A5A66"/>
          <w:sz w:val="20"/>
          <w:szCs w:val="20"/>
        </w:rPr>
        <w:t xml:space="preserve">Each playbook follows the same shape: trigger → first 60 minutes → first 24 hours → root-cause → control fix. Playbooks are deliberately short — link to detail in Sentinel runbooks.</w:t>
      </w:r>
    </w:p>
    <w:p>
      <w:pPr>
        <w:pStyle w:val="Heading2"/>
        <w:spacing w:after="120" w:before="240"/>
      </w:pPr>
      <w:r>
        <w:rPr>
          <w:b/>
          <w:bCs/>
          <w:color w:val="0F1F44"/>
          <w:sz w:val="24"/>
          <w:szCs w:val="24"/>
        </w:rPr>
        <w:t xml:space="preserve">PB-1 — Customer or confidential data leakage via M365 Copilot or Foundry</w:t>
      </w:r>
    </w:p>
    <w:p>
      <w:pPr>
        <w:pStyle w:val="ListParagraph"/>
        <w:numPr>
          <w:ilvl w:val="0"/>
          <w:numId w:val="2"/>
        </w:numPr>
        <w:spacing w:after="80" w:line="280"/>
      </w:pPr>
      <w:r>
        <w:t xml:space="preserve">First 60 minutes: confirm the data class involved (PII / financial / credentials). Identify the affected user(s) and the document path. If customer PII is in scope, page the DPO immediately. Disable the offending Copilot session if leakage is in flight; suspend the user account if exfiltration is suspected.</w:t>
      </w:r>
    </w:p>
    <w:p>
      <w:pPr>
        <w:pStyle w:val="ListParagraph"/>
        <w:numPr>
          <w:ilvl w:val="0"/>
          <w:numId w:val="2"/>
        </w:numPr>
        <w:spacing w:after="80" w:line="280"/>
      </w:pPr>
      <w:r>
        <w:t xml:space="preserve">First 24 hours: contain the source — fix the SharePoint oversharing, retract the document, revoke external links, run a Copilot-purge on the affected items, force-recall sent emails. Establish full scope via Purview Audit (who saw what, when, how many).</w:t>
      </w:r>
    </w:p>
    <w:p>
      <w:pPr>
        <w:pStyle w:val="ListParagraph"/>
        <w:numPr>
          <w:ilvl w:val="0"/>
          <w:numId w:val="2"/>
        </w:numPr>
        <w:spacing w:after="80" w:line="280"/>
      </w:pPr>
      <w:r>
        <w:t xml:space="preserve">Root cause: misclassified document, label inheritance failure, oversharing in source SharePoint, prompt designed to extract data, or model behaviour. Identify which class.</w:t>
      </w:r>
    </w:p>
    <w:p>
      <w:pPr>
        <w:pStyle w:val="ListParagraph"/>
        <w:numPr>
          <w:ilvl w:val="0"/>
          <w:numId w:val="2"/>
        </w:numPr>
        <w:spacing w:after="80" w:line="280"/>
      </w:pPr>
      <w:r>
        <w:t xml:space="preserve">Control fix: tune the relevant control (B.01 / B.02 / B.03 / D.01); update the AUP if user behaviour was a contributor; brief the affected business unit.</w:t>
      </w:r>
    </w:p>
    <w:p>
      <w:pPr>
        <w:pStyle w:val="ListParagraph"/>
        <w:numPr>
          <w:ilvl w:val="0"/>
          <w:numId w:val="2"/>
        </w:numPr>
        <w:spacing w:after="80" w:line="280"/>
      </w:pPr>
      <w:r>
        <w:t xml:space="preserve">Notification: DPO assesses POPIA / NDPA / KDPA notification thresholds; GC initiates regulator clock if criteria met (see §8).</w:t>
      </w:r>
    </w:p>
    <w:p>
      <w:pPr>
        <w:pStyle w:val="Heading2"/>
        <w:spacing w:after="120" w:before="240"/>
      </w:pPr>
      <w:r>
        <w:rPr>
          <w:b/>
          <w:bCs/>
          <w:color w:val="0F1F44"/>
          <w:sz w:val="24"/>
          <w:szCs w:val="24"/>
        </w:rPr>
        <w:t xml:space="preserve">PB-2 — Prompt injection / jailbreak / model manipulation</w:t>
      </w:r>
    </w:p>
    <w:p>
      <w:pPr>
        <w:pStyle w:val="ListParagraph"/>
        <w:numPr>
          <w:ilvl w:val="0"/>
          <w:numId w:val="2"/>
        </w:numPr>
        <w:spacing w:after="80" w:line="280"/>
      </w:pPr>
      <w:r>
        <w:t xml:space="preserve">First 60 minutes: confirm the affected endpoint or agent. If a customer-facing system is affected, take it out of service via the kill-switch in the use-case runbook. Capture the offending prompt and response for evidence.</w:t>
      </w:r>
    </w:p>
    <w:p>
      <w:pPr>
        <w:pStyle w:val="ListParagraph"/>
        <w:numPr>
          <w:ilvl w:val="0"/>
          <w:numId w:val="2"/>
        </w:numPr>
        <w:spacing w:after="80" w:line="280"/>
      </w:pPr>
      <w:r>
        <w:t xml:space="preserve">First 24 hours: assess what the injection achieved (data leak? misleading output? action performed?). Re-test with content-safety filters. Patch system prompt / guardrails. Run abuse-test regression.</w:t>
      </w:r>
    </w:p>
    <w:p>
      <w:pPr>
        <w:pStyle w:val="ListParagraph"/>
        <w:numPr>
          <w:ilvl w:val="0"/>
          <w:numId w:val="2"/>
        </w:numPr>
        <w:spacing w:after="80" w:line="280"/>
      </w:pPr>
      <w:r>
        <w:t xml:space="preserve">Root cause: weak system prompt, missing output validation, untrusted retrieval source, model behaviour. Identify class.</w:t>
      </w:r>
    </w:p>
    <w:p>
      <w:pPr>
        <w:pStyle w:val="ListParagraph"/>
        <w:numPr>
          <w:ilvl w:val="0"/>
          <w:numId w:val="2"/>
        </w:numPr>
        <w:spacing w:after="80" w:line="280"/>
      </w:pPr>
      <w:r>
        <w:t xml:space="preserve">Control fix: tighten Foundry content-safety configuration (C.02), re-run prompt-shield checks, add an output validator if appropriate; update detection rule for repeat patterns (D.02).</w:t>
      </w:r>
    </w:p>
    <w:p>
      <w:pPr>
        <w:pStyle w:val="Heading2"/>
        <w:spacing w:after="120" w:before="240"/>
      </w:pPr>
      <w:r>
        <w:rPr>
          <w:b/>
          <w:bCs/>
          <w:color w:val="0F1F44"/>
          <w:sz w:val="24"/>
          <w:szCs w:val="24"/>
        </w:rPr>
        <w:t xml:space="preserve">PB-3 — Unapproved AI tool use</w:t>
      </w:r>
    </w:p>
    <w:p>
      <w:pPr>
        <w:pStyle w:val="ListParagraph"/>
        <w:numPr>
          <w:ilvl w:val="0"/>
          <w:numId w:val="2"/>
        </w:numPr>
        <w:spacing w:after="80" w:line="280"/>
      </w:pPr>
      <w:r>
        <w:t xml:space="preserve">First 60 minutes: identify the user(s) and the tool(s); confirm whether company data was uploaded. Block further connections at the proxy / DfCA. If data was uploaded, escalate to PB-1.</w:t>
      </w:r>
    </w:p>
    <w:p>
      <w:pPr>
        <w:pStyle w:val="ListParagraph"/>
        <w:numPr>
          <w:ilvl w:val="0"/>
          <w:numId w:val="2"/>
        </w:numPr>
        <w:spacing w:after="80" w:line="280"/>
      </w:pPr>
      <w:r>
        <w:t xml:space="preserve">First 24 hours: secure deletion request to the tool provider where applicable; confirm with the user that they understand the AUP §5.3; refer for disciplinary review per AUP §11 if wilful.</w:t>
      </w:r>
    </w:p>
    <w:p>
      <w:pPr>
        <w:pStyle w:val="ListParagraph"/>
        <w:numPr>
          <w:ilvl w:val="0"/>
          <w:numId w:val="2"/>
        </w:numPr>
        <w:spacing w:after="80" w:line="280"/>
      </w:pPr>
      <w:r>
        <w:t xml:space="preserve">Root cause: gap in approved-tool list (user had a real need), gap in egress controls, gap in awareness.</w:t>
      </w:r>
    </w:p>
    <w:p>
      <w:pPr>
        <w:pStyle w:val="ListParagraph"/>
        <w:numPr>
          <w:ilvl w:val="0"/>
          <w:numId w:val="2"/>
        </w:numPr>
        <w:spacing w:after="80" w:line="280"/>
      </w:pPr>
      <w:r>
        <w:t xml:space="preserve">Control fix: tighten egress controls (E.02), update approved-tool list (C.04) if the need is legitimate, send refresher comms; re-attest if a wider gap is found.</w:t>
      </w:r>
    </w:p>
    <w:p>
      <w:pPr>
        <w:pStyle w:val="Heading2"/>
        <w:spacing w:after="120" w:before="240"/>
      </w:pPr>
      <w:r>
        <w:rPr>
          <w:b/>
          <w:bCs/>
          <w:color w:val="0F1F44"/>
          <w:sz w:val="24"/>
          <w:szCs w:val="24"/>
        </w:rPr>
        <w:t xml:space="preserve">PB-4 — Code or secret leakage via developer AI assistant</w:t>
      </w:r>
    </w:p>
    <w:p>
      <w:pPr>
        <w:pStyle w:val="ListParagraph"/>
        <w:numPr>
          <w:ilvl w:val="0"/>
          <w:numId w:val="2"/>
        </w:numPr>
        <w:spacing w:after="80" w:line="280"/>
      </w:pPr>
      <w:r>
        <w:t xml:space="preserve">First 60 minutes: revoke the leaked secret immediately (rotate the key, invalidate the token, change the credential). Identify all systems where the secret was valid. Page the AppSec lead.</w:t>
      </w:r>
    </w:p>
    <w:p>
      <w:pPr>
        <w:pStyle w:val="ListParagraph"/>
        <w:numPr>
          <w:ilvl w:val="0"/>
          <w:numId w:val="2"/>
        </w:numPr>
        <w:spacing w:after="80" w:line="280"/>
      </w:pPr>
      <w:r>
        <w:t xml:space="preserve">First 24 hours: scan for use of the leaked secret; force git-history rewrite if necessary; verify GHAS push-protection should have caught it (and why it didn't); confirm the scope of any code that was sent to a public model.</w:t>
      </w:r>
    </w:p>
    <w:p>
      <w:pPr>
        <w:pStyle w:val="ListParagraph"/>
        <w:numPr>
          <w:ilvl w:val="0"/>
          <w:numId w:val="2"/>
        </w:numPr>
        <w:spacing w:after="80" w:line="280"/>
      </w:pPr>
      <w:r>
        <w:t xml:space="preserve">Root cause: missing pre-commit hook, push-protection bypass, IDE behaviour, or pasted-into-prompt. Identify class.</w:t>
      </w:r>
    </w:p>
    <w:p>
      <w:pPr>
        <w:pStyle w:val="ListParagraph"/>
        <w:numPr>
          <w:ilvl w:val="0"/>
          <w:numId w:val="2"/>
        </w:numPr>
        <w:spacing w:after="80" w:line="280"/>
      </w:pPr>
      <w:r>
        <w:t xml:space="preserve">Control fix: tune GHAS configuration (F.02), tighten pre-commit hooks, refresh developer training.</w:t>
      </w:r>
    </w:p>
    <w:p>
      <w:pPr>
        <w:pStyle w:val="Heading2"/>
        <w:spacing w:after="120" w:before="240"/>
      </w:pPr>
      <w:r>
        <w:rPr>
          <w:b/>
          <w:bCs/>
          <w:color w:val="0F1F44"/>
          <w:sz w:val="24"/>
          <w:szCs w:val="24"/>
        </w:rPr>
        <w:t xml:space="preserve">PB-5 — Spend runaway / consumption anomaly</w:t>
      </w:r>
    </w:p>
    <w:p>
      <w:pPr>
        <w:pStyle w:val="ListParagraph"/>
        <w:numPr>
          <w:ilvl w:val="0"/>
          <w:numId w:val="2"/>
        </w:numPr>
        <w:spacing w:after="80" w:line="280"/>
      </w:pPr>
      <w:r>
        <w:t xml:space="preserve">First 60 minutes: confirm the project, the model and the consumer (workload / pipeline / user). If runaway is active, throttle or stop the workload via Foundry; if a runaway script, kill it.</w:t>
      </w:r>
    </w:p>
    <w:p>
      <w:pPr>
        <w:pStyle w:val="ListParagraph"/>
        <w:numPr>
          <w:ilvl w:val="0"/>
          <w:numId w:val="2"/>
        </w:numPr>
        <w:spacing w:after="80" w:line="280"/>
      </w:pPr>
      <w:r>
        <w:t xml:space="preserve">First 24 hours: identify root cause — bug, prompt loop, malicious workload, mis-sized batch job, model selection error. Quantify financial exposure and confirm whether it is recoverable from Microsoft credits.</w:t>
      </w:r>
    </w:p>
    <w:p>
      <w:pPr>
        <w:pStyle w:val="ListParagraph"/>
        <w:numPr>
          <w:ilvl w:val="0"/>
          <w:numId w:val="2"/>
        </w:numPr>
        <w:spacing w:after="80" w:line="280"/>
      </w:pPr>
      <w:r>
        <w:t xml:space="preserve">Root cause: missing per-model cap, missing budget alert, wrong cost-control configuration, dev environment without auto-stop.</w:t>
      </w:r>
    </w:p>
    <w:p>
      <w:pPr>
        <w:pStyle w:val="ListParagraph"/>
        <w:numPr>
          <w:ilvl w:val="0"/>
          <w:numId w:val="2"/>
        </w:numPr>
        <w:spacing w:after="80" w:line="280"/>
      </w:pPr>
      <w:r>
        <w:t xml:space="preserve">Control fix: confirm H.01–H.03 are operating; introduce a circuit-breaker pattern in the affected pipeline; review architecture if needed.</w:t>
      </w:r>
    </w:p>
    <w:p>
      <w:pPr>
        <w:pStyle w:val="Heading2"/>
        <w:spacing w:after="120" w:before="240"/>
      </w:pPr>
      <w:r>
        <w:rPr>
          <w:b/>
          <w:bCs/>
          <w:color w:val="0F1F44"/>
          <w:sz w:val="24"/>
          <w:szCs w:val="24"/>
        </w:rPr>
        <w:t xml:space="preserve">PB-6 — Prohibited use detected (Tier 4)</w:t>
      </w:r>
    </w:p>
    <w:p>
      <w:pPr>
        <w:pStyle w:val="ListParagraph"/>
        <w:numPr>
          <w:ilvl w:val="0"/>
          <w:numId w:val="2"/>
        </w:numPr>
        <w:spacing w:after="80" w:line="280"/>
      </w:pPr>
      <w:r>
        <w:t xml:space="preserve">First 60 minutes: stop the use case. If it is in production, pull it offline. Brief CISO, GC, DPO and the Head of AI &amp; Automation.</w:t>
      </w:r>
    </w:p>
    <w:p>
      <w:pPr>
        <w:pStyle w:val="ListParagraph"/>
        <w:numPr>
          <w:ilvl w:val="0"/>
          <w:numId w:val="2"/>
        </w:numPr>
        <w:spacing w:after="80" w:line="280"/>
      </w:pPr>
      <w:r>
        <w:t xml:space="preserve">First 24 hours: convene an emergency AI Council (Framework §4.3). Identify: was the use case ever approved? If yes, why was it not flagged as Tier 4? If no, why was it operating? What was the exposure?</w:t>
      </w:r>
    </w:p>
    <w:p>
      <w:pPr>
        <w:pStyle w:val="ListParagraph"/>
        <w:numPr>
          <w:ilvl w:val="0"/>
          <w:numId w:val="2"/>
        </w:numPr>
        <w:spacing w:after="80" w:line="280"/>
      </w:pPr>
      <w:r>
        <w:t xml:space="preserve">Root cause: intake gap, deliberate evasion, ambiguous Tier 4 definition, or change-of-use without re-approval.</w:t>
      </w:r>
    </w:p>
    <w:p>
      <w:pPr>
        <w:pStyle w:val="ListParagraph"/>
        <w:numPr>
          <w:ilvl w:val="0"/>
          <w:numId w:val="2"/>
        </w:numPr>
        <w:spacing w:after="80" w:line="280"/>
      </w:pPr>
      <w:r>
        <w:t xml:space="preserve">Control fix: tighten Framework §6 enforcement; add detection rule (D.02) for the Tier 4 pattern; brief out the lessons.</w:t>
      </w:r>
    </w:p>
    <w:p>
      <w:pPr>
        <w:pStyle w:val="Heading2"/>
        <w:spacing w:after="120" w:before="240"/>
      </w:pPr>
      <w:r>
        <w:rPr>
          <w:b/>
          <w:bCs/>
          <w:color w:val="0F1F44"/>
          <w:sz w:val="24"/>
          <w:szCs w:val="24"/>
        </w:rPr>
        <w:t xml:space="preserve">PB-7 — Model behaviour drift / quality regression</w:t>
      </w:r>
    </w:p>
    <w:p>
      <w:pPr>
        <w:pStyle w:val="ListParagraph"/>
        <w:numPr>
          <w:ilvl w:val="0"/>
          <w:numId w:val="2"/>
        </w:numPr>
        <w:spacing w:after="80" w:line="280"/>
      </w:pPr>
      <w:r>
        <w:t xml:space="preserve">First 60 minutes: confirm the affected use case and the affected metric (accuracy, refusal rate, toxicity, fairness). If it materially affects customers, take the system off-line or revert to the previous version.</w:t>
      </w:r>
    </w:p>
    <w:p>
      <w:pPr>
        <w:pStyle w:val="ListParagraph"/>
        <w:numPr>
          <w:ilvl w:val="0"/>
          <w:numId w:val="2"/>
        </w:numPr>
        <w:spacing w:after="80" w:line="280"/>
      </w:pPr>
      <w:r>
        <w:t xml:space="preserve">First 24 hours: investigate cause — model version change, prompt change, retrieval source change, data drift. Re-run the eval suite on the previous and current configurations.</w:t>
      </w:r>
    </w:p>
    <w:p>
      <w:pPr>
        <w:pStyle w:val="ListParagraph"/>
        <w:numPr>
          <w:ilvl w:val="0"/>
          <w:numId w:val="2"/>
        </w:numPr>
        <w:spacing w:after="80" w:line="280"/>
      </w:pPr>
      <w:r>
        <w:t xml:space="preserve">Root cause: vendor-side model update, change to system prompt, change to retrieval index, real-world drift in inputs.</w:t>
      </w:r>
    </w:p>
    <w:p>
      <w:pPr>
        <w:pStyle w:val="ListParagraph"/>
        <w:numPr>
          <w:ilvl w:val="0"/>
          <w:numId w:val="2"/>
        </w:numPr>
        <w:spacing w:after="80" w:line="280"/>
      </w:pPr>
      <w:r>
        <w:t xml:space="preserve">Control fix: improve evaluation pipeline coverage; introduce a release-gate eval; update monitoring thresholds (D.02 / C.05).</w:t>
      </w:r>
    </w:p>
    <w:p>
      <w:pPr>
        <w:pStyle w:val="Heading1"/>
        <w:spacing w:after="160" w:before="360"/>
      </w:pPr>
      <w:r>
        <w:rPr>
          <w:b/>
          <w:bCs/>
          <w:color w:val="1F3864"/>
          <w:sz w:val="30"/>
          <w:szCs w:val="30"/>
        </w:rPr>
        <w:t xml:space="preserve">7. Communications Protocol</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gridCol w:w="100"/>
      </w:tblGrid>
      <w:tr>
        <w:trPr>
          <w:tblHeader/>
        </w:trPr>
        <w:tc>
          <w:tcPr>
            <w:tcW w:type="pct" w:w="22%"/>
            <w:shd w:fill="1F3864" w:color="auto" w:val="clear"/>
            <w:tcMar>
              <w:top w:type="dxa" w:w="80"/>
              <w:left w:type="dxa" w:w="120"/>
              <w:bottom w:type="dxa" w:w="80"/>
              <w:right w:type="dxa" w:w="120"/>
            </w:tcMar>
          </w:tcPr>
          <w:p>
            <w:pPr>
              <w:spacing w:after="40"/>
              <w:jc w:val="left"/>
            </w:pPr>
            <w:r>
              <w:rPr>
                <w:b/>
                <w:bCs/>
                <w:color w:val="FFFFFF"/>
                <w:sz w:val="20"/>
                <w:szCs w:val="20"/>
              </w:rPr>
              <w:t xml:space="preserve">Audience</w:t>
            </w:r>
          </w:p>
        </w:tc>
        <w:tc>
          <w:tcPr>
            <w:tcW w:type="pct" w:w="38%"/>
            <w:shd w:fill="1F3864" w:color="auto" w:val="clear"/>
            <w:tcMar>
              <w:top w:type="dxa" w:w="80"/>
              <w:left w:type="dxa" w:w="120"/>
              <w:bottom w:type="dxa" w:w="80"/>
              <w:right w:type="dxa" w:w="120"/>
            </w:tcMar>
          </w:tcPr>
          <w:p>
            <w:pPr>
              <w:spacing w:after="40"/>
              <w:jc w:val="left"/>
            </w:pPr>
            <w:r>
              <w:rPr>
                <w:b/>
                <w:bCs/>
                <w:color w:val="FFFFFF"/>
                <w:sz w:val="20"/>
                <w:szCs w:val="20"/>
              </w:rPr>
              <w:t xml:space="preserve">Trigger</w:t>
            </w:r>
          </w:p>
        </w:tc>
        <w:tc>
          <w:tcPr>
            <w:tcW w:type="pct" w:w="18%"/>
            <w:shd w:fill="1F3864" w:color="auto" w:val="clear"/>
            <w:tcMar>
              <w:top w:type="dxa" w:w="80"/>
              <w:left w:type="dxa" w:w="120"/>
              <w:bottom w:type="dxa" w:w="80"/>
              <w:right w:type="dxa" w:w="120"/>
            </w:tcMar>
          </w:tcPr>
          <w:p>
            <w:pPr>
              <w:spacing w:after="40"/>
              <w:jc w:val="left"/>
            </w:pPr>
            <w:r>
              <w:rPr>
                <w:b/>
                <w:bCs/>
                <w:color w:val="FFFFFF"/>
                <w:sz w:val="20"/>
                <w:szCs w:val="20"/>
              </w:rPr>
              <w:t xml:space="preserve">Owner</w:t>
            </w:r>
          </w:p>
        </w:tc>
        <w:tc>
          <w:tcPr>
            <w:tcW w:type="pct" w:w="22%"/>
            <w:shd w:fill="1F3864" w:color="auto" w:val="clear"/>
            <w:tcMar>
              <w:top w:type="dxa" w:w="80"/>
              <w:left w:type="dxa" w:w="120"/>
              <w:bottom w:type="dxa" w:w="80"/>
              <w:right w:type="dxa" w:w="120"/>
            </w:tcMar>
          </w:tcPr>
          <w:p>
            <w:pPr>
              <w:spacing w:after="40"/>
              <w:jc w:val="left"/>
            </w:pPr>
            <w:r>
              <w:rPr>
                <w:b/>
                <w:bCs/>
                <w:color w:val="FFFFFF"/>
                <w:sz w:val="20"/>
                <w:szCs w:val="20"/>
              </w:rPr>
              <w:t xml:space="preserve">Channel</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ExCo</w:t>
            </w:r>
          </w:p>
        </w:tc>
        <w:tc>
          <w:tcPr>
            <w:tcMar>
              <w:top w:type="dxa" w:w="80"/>
              <w:left w:type="dxa" w:w="120"/>
              <w:bottom w:type="dxa" w:w="80"/>
              <w:right w:type="dxa" w:w="120"/>
            </w:tcMar>
          </w:tcPr>
          <w:p>
            <w:pPr>
              <w:spacing w:after="40"/>
              <w:jc w:val="left"/>
            </w:pPr>
            <w:r>
              <w:rPr>
                <w:b w:val="false"/>
                <w:bCs w:val="false"/>
                <w:color w:val="1B1B1F"/>
                <w:sz w:val="20"/>
                <w:szCs w:val="20"/>
              </w:rPr>
              <w:t xml:space="preserve">Any P1 within 4 hours; daily summary while open.</w:t>
            </w:r>
          </w:p>
        </w:tc>
        <w:tc>
          <w:tcPr>
            <w:tcMar>
              <w:top w:type="dxa" w:w="80"/>
              <w:left w:type="dxa" w:w="120"/>
              <w:bottom w:type="dxa" w:w="80"/>
              <w:right w:type="dxa" w:w="120"/>
            </w:tcMar>
          </w:tcPr>
          <w:p>
            <w:pPr>
              <w:spacing w:after="40"/>
              <w:jc w:val="left"/>
            </w:pPr>
            <w:r>
              <w:rPr>
                <w:b w:val="false"/>
                <w:bCs w:val="false"/>
                <w:color w:val="1B1B1F"/>
                <w:sz w:val="20"/>
                <w:szCs w:val="20"/>
              </w:rPr>
              <w:t xml:space="preserve">CISO + Head of AI</w:t>
            </w:r>
          </w:p>
        </w:tc>
        <w:tc>
          <w:tcPr>
            <w:tcMar>
              <w:top w:type="dxa" w:w="80"/>
              <w:left w:type="dxa" w:w="120"/>
              <w:bottom w:type="dxa" w:w="80"/>
              <w:right w:type="dxa" w:w="120"/>
            </w:tcMar>
          </w:tcPr>
          <w:p>
            <w:pPr>
              <w:spacing w:after="40"/>
              <w:jc w:val="left"/>
            </w:pPr>
            <w:r>
              <w:rPr>
                <w:b w:val="false"/>
                <w:bCs w:val="false"/>
                <w:color w:val="1B1B1F"/>
                <w:sz w:val="20"/>
                <w:szCs w:val="20"/>
              </w:rPr>
              <w:t xml:space="preserve">Email + Teams</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AI Council</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Any P1 / P2 within 4 hours; emergency Council on Tier 4 incidents.</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Council Sec.</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Council channel</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Board Risk Cttee</w:t>
            </w:r>
          </w:p>
        </w:tc>
        <w:tc>
          <w:tcPr>
            <w:tcMar>
              <w:top w:type="dxa" w:w="80"/>
              <w:left w:type="dxa" w:w="120"/>
              <w:bottom w:type="dxa" w:w="80"/>
              <w:right w:type="dxa" w:w="120"/>
            </w:tcMar>
          </w:tcPr>
          <w:p>
            <w:pPr>
              <w:spacing w:after="40"/>
              <w:jc w:val="left"/>
            </w:pPr>
            <w:r>
              <w:rPr>
                <w:b w:val="false"/>
                <w:bCs w:val="false"/>
                <w:color w:val="1B1B1F"/>
                <w:sz w:val="20"/>
                <w:szCs w:val="20"/>
              </w:rPr>
              <w:t xml:space="preserve">Material P1 incidents; or any incident with regulator notification.</w:t>
            </w:r>
          </w:p>
        </w:tc>
        <w:tc>
          <w:tcPr>
            <w:tcMar>
              <w:top w:type="dxa" w:w="80"/>
              <w:left w:type="dxa" w:w="120"/>
              <w:bottom w:type="dxa" w:w="80"/>
              <w:right w:type="dxa" w:w="120"/>
            </w:tcMar>
          </w:tcPr>
          <w:p>
            <w:pPr>
              <w:spacing w:after="40"/>
              <w:jc w:val="left"/>
            </w:pPr>
            <w:r>
              <w:rPr>
                <w:b w:val="false"/>
                <w:bCs w:val="false"/>
                <w:color w:val="1B1B1F"/>
                <w:sz w:val="20"/>
                <w:szCs w:val="20"/>
              </w:rPr>
              <w:t xml:space="preserve">GC + CISO</w:t>
            </w:r>
          </w:p>
        </w:tc>
        <w:tc>
          <w:tcPr>
            <w:tcMar>
              <w:top w:type="dxa" w:w="80"/>
              <w:left w:type="dxa" w:w="120"/>
              <w:bottom w:type="dxa" w:w="80"/>
              <w:right w:type="dxa" w:w="120"/>
            </w:tcMar>
          </w:tcPr>
          <w:p>
            <w:pPr>
              <w:spacing w:after="40"/>
              <w:jc w:val="left"/>
            </w:pPr>
            <w:r>
              <w:rPr>
                <w:b w:val="false"/>
                <w:bCs w:val="false"/>
                <w:color w:val="1B1B1F"/>
                <w:sz w:val="20"/>
                <w:szCs w:val="20"/>
              </w:rPr>
              <w:t xml:space="preserve">Written brief</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All staff</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Tool outage; behavioural guidance; published lessons.</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Comms</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Intranet AI hub</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Affected business team</w:t>
            </w:r>
          </w:p>
        </w:tc>
        <w:tc>
          <w:tcPr>
            <w:tcMar>
              <w:top w:type="dxa" w:w="80"/>
              <w:left w:type="dxa" w:w="120"/>
              <w:bottom w:type="dxa" w:w="80"/>
              <w:right w:type="dxa" w:w="120"/>
            </w:tcMar>
          </w:tcPr>
          <w:p>
            <w:pPr>
              <w:spacing w:after="40"/>
              <w:jc w:val="left"/>
            </w:pPr>
            <w:r>
              <w:rPr>
                <w:b w:val="false"/>
                <w:bCs w:val="false"/>
                <w:color w:val="1B1B1F"/>
                <w:sz w:val="20"/>
                <w:szCs w:val="20"/>
              </w:rPr>
              <w:t xml:space="preserve">Any P1–P3 affecting their team.</w:t>
            </w:r>
          </w:p>
        </w:tc>
        <w:tc>
          <w:tcPr>
            <w:tcMar>
              <w:top w:type="dxa" w:w="80"/>
              <w:left w:type="dxa" w:w="120"/>
              <w:bottom w:type="dxa" w:w="80"/>
              <w:right w:type="dxa" w:w="120"/>
            </w:tcMar>
          </w:tcPr>
          <w:p>
            <w:pPr>
              <w:spacing w:after="40"/>
              <w:jc w:val="left"/>
            </w:pPr>
            <w:r>
              <w:rPr>
                <w:b w:val="false"/>
                <w:bCs w:val="false"/>
                <w:color w:val="1B1B1F"/>
                <w:sz w:val="20"/>
                <w:szCs w:val="20"/>
              </w:rPr>
              <w:t xml:space="preserve">Use-case owner</w:t>
            </w:r>
          </w:p>
        </w:tc>
        <w:tc>
          <w:tcPr>
            <w:tcMar>
              <w:top w:type="dxa" w:w="80"/>
              <w:left w:type="dxa" w:w="120"/>
              <w:bottom w:type="dxa" w:w="80"/>
              <w:right w:type="dxa" w:w="120"/>
            </w:tcMar>
          </w:tcPr>
          <w:p>
            <w:pPr>
              <w:spacing w:after="40"/>
              <w:jc w:val="left"/>
            </w:pPr>
            <w:r>
              <w:rPr>
                <w:b w:val="false"/>
                <w:bCs w:val="false"/>
                <w:color w:val="1B1B1F"/>
                <w:sz w:val="20"/>
                <w:szCs w:val="20"/>
              </w:rPr>
              <w:t xml:space="preserve">Direct</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Customers</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Per legal / regulatory obligation; never without GC sign-off.</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GC + Comms</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Approved channels</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Regulators / DPO authorities</w:t>
            </w:r>
          </w:p>
        </w:tc>
        <w:tc>
          <w:tcPr>
            <w:tcMar>
              <w:top w:type="dxa" w:w="80"/>
              <w:left w:type="dxa" w:w="120"/>
              <w:bottom w:type="dxa" w:w="80"/>
              <w:right w:type="dxa" w:w="120"/>
            </w:tcMar>
          </w:tcPr>
          <w:p>
            <w:pPr>
              <w:spacing w:after="40"/>
              <w:jc w:val="left"/>
            </w:pPr>
            <w:r>
              <w:rPr>
                <w:b w:val="false"/>
                <w:bCs w:val="false"/>
                <w:color w:val="1B1B1F"/>
                <w:sz w:val="20"/>
                <w:szCs w:val="20"/>
              </w:rPr>
              <w:t xml:space="preserve">Per §8 thresholds and timetables.</w:t>
            </w:r>
          </w:p>
        </w:tc>
        <w:tc>
          <w:tcPr>
            <w:tcMar>
              <w:top w:type="dxa" w:w="80"/>
              <w:left w:type="dxa" w:w="120"/>
              <w:bottom w:type="dxa" w:w="80"/>
              <w:right w:type="dxa" w:w="120"/>
            </w:tcMar>
          </w:tcPr>
          <w:p>
            <w:pPr>
              <w:spacing w:after="40"/>
              <w:jc w:val="left"/>
            </w:pPr>
            <w:r>
              <w:rPr>
                <w:b w:val="false"/>
                <w:bCs w:val="false"/>
                <w:color w:val="1B1B1F"/>
                <w:sz w:val="20"/>
                <w:szCs w:val="20"/>
              </w:rPr>
              <w:t xml:space="preserve">DPO + GC</w:t>
            </w:r>
          </w:p>
        </w:tc>
        <w:tc>
          <w:tcPr>
            <w:tcMar>
              <w:top w:type="dxa" w:w="80"/>
              <w:left w:type="dxa" w:w="120"/>
              <w:bottom w:type="dxa" w:w="80"/>
              <w:right w:type="dxa" w:w="120"/>
            </w:tcMar>
          </w:tcPr>
          <w:p>
            <w:pPr>
              <w:spacing w:after="40"/>
              <w:jc w:val="left"/>
            </w:pPr>
            <w:r>
              <w:rPr>
                <w:b w:val="false"/>
                <w:bCs w:val="false"/>
                <w:color w:val="1B1B1F"/>
                <w:sz w:val="20"/>
                <w:szCs w:val="20"/>
              </w:rPr>
              <w:t xml:space="preserve">Regulator portal</w:t>
            </w:r>
          </w:p>
        </w:tc>
      </w:tr>
    </w:tbl>
    <w:p>
      <w:pPr>
        <w:pStyle w:val="Heading1"/>
        <w:spacing w:after="160" w:before="360"/>
      </w:pPr>
      <w:r>
        <w:rPr>
          <w:b/>
          <w:bCs/>
          <w:color w:val="1F3864"/>
          <w:sz w:val="30"/>
          <w:szCs w:val="30"/>
        </w:rPr>
        <w:t xml:space="preserve">8. Regulator Notification Thresholds (indicative)</w:t>
      </w:r>
    </w:p>
    <w:p>
      <w:pPr>
        <w:spacing w:after="80"/>
      </w:pPr>
      <w:r>
        <w:rPr>
          <w:i/>
          <w:iCs/>
          <w:color w:val="5A5A66"/>
          <w:sz w:val="20"/>
          <w:szCs w:val="20"/>
        </w:rPr>
        <w:t xml:space="preserve">Final assessment is always made by DPO and GC. The clock below is the worst-case external clock; internal escalation begins immediately on P1.</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tblGrid>
      <w:tr>
        <w:trPr>
          <w:tblHeader/>
        </w:trPr>
        <w:tc>
          <w:tcPr>
            <w:tcW w:type="pct" w:w="28%"/>
            <w:shd w:fill="1F3864" w:color="auto" w:val="clear"/>
            <w:tcMar>
              <w:top w:type="dxa" w:w="80"/>
              <w:left w:type="dxa" w:w="120"/>
              <w:bottom w:type="dxa" w:w="80"/>
              <w:right w:type="dxa" w:w="120"/>
            </w:tcMar>
          </w:tcPr>
          <w:p>
            <w:pPr>
              <w:spacing w:after="40"/>
              <w:jc w:val="left"/>
            </w:pPr>
            <w:r>
              <w:rPr>
                <w:b/>
                <w:bCs/>
                <w:color w:val="FFFFFF"/>
                <w:sz w:val="20"/>
                <w:szCs w:val="20"/>
              </w:rPr>
              <w:t xml:space="preserve">Regulator / regime</w:t>
            </w:r>
          </w:p>
        </w:tc>
        <w:tc>
          <w:tcPr>
            <w:tcW w:type="pct" w:w="50%"/>
            <w:shd w:fill="1F3864" w:color="auto" w:val="clear"/>
            <w:tcMar>
              <w:top w:type="dxa" w:w="80"/>
              <w:left w:type="dxa" w:w="120"/>
              <w:bottom w:type="dxa" w:w="80"/>
              <w:right w:type="dxa" w:w="120"/>
            </w:tcMar>
          </w:tcPr>
          <w:p>
            <w:pPr>
              <w:spacing w:after="40"/>
              <w:jc w:val="left"/>
            </w:pPr>
            <w:r>
              <w:rPr>
                <w:b/>
                <w:bCs/>
                <w:color w:val="FFFFFF"/>
                <w:sz w:val="20"/>
                <w:szCs w:val="20"/>
              </w:rPr>
              <w:t xml:space="preserve">Trigger</w:t>
            </w:r>
          </w:p>
        </w:tc>
        <w:tc>
          <w:tcPr>
            <w:tcW w:type="pct" w:w="22%"/>
            <w:shd w:fill="1F3864" w:color="auto" w:val="clear"/>
            <w:tcMar>
              <w:top w:type="dxa" w:w="80"/>
              <w:left w:type="dxa" w:w="120"/>
              <w:bottom w:type="dxa" w:w="80"/>
              <w:right w:type="dxa" w:w="120"/>
            </w:tcMar>
          </w:tcPr>
          <w:p>
            <w:pPr>
              <w:spacing w:after="40"/>
              <w:jc w:val="center"/>
            </w:pPr>
            <w:r>
              <w:rPr>
                <w:b/>
                <w:bCs/>
                <w:color w:val="FFFFFF"/>
                <w:sz w:val="20"/>
                <w:szCs w:val="20"/>
              </w:rPr>
              <w:t xml:space="preserve">Notification clock</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POPIA (South Africa) — Information Regulator</w:t>
            </w:r>
          </w:p>
        </w:tc>
        <w:tc>
          <w:tcPr>
            <w:tcMar>
              <w:top w:type="dxa" w:w="80"/>
              <w:left w:type="dxa" w:w="120"/>
              <w:bottom w:type="dxa" w:w="80"/>
              <w:right w:type="dxa" w:w="120"/>
            </w:tcMar>
          </w:tcPr>
          <w:p>
            <w:pPr>
              <w:spacing w:after="40"/>
              <w:jc w:val="left"/>
            </w:pPr>
            <w:r>
              <w:rPr>
                <w:b w:val="false"/>
                <w:bCs w:val="false"/>
                <w:color w:val="1B1B1F"/>
                <w:sz w:val="20"/>
                <w:szCs w:val="20"/>
              </w:rPr>
              <w:t xml:space="preserve">Compromise of personal information likely to cause harm or being unlawfully accessed / acquired.</w:t>
            </w:r>
          </w:p>
        </w:tc>
        <w:tc>
          <w:tcPr>
            <w:tcMar>
              <w:top w:type="dxa" w:w="80"/>
              <w:left w:type="dxa" w:w="120"/>
              <w:bottom w:type="dxa" w:w="80"/>
              <w:right w:type="dxa" w:w="120"/>
            </w:tcMar>
          </w:tcPr>
          <w:p>
            <w:pPr>
              <w:spacing w:after="40"/>
              <w:jc w:val="center"/>
            </w:pPr>
            <w:r>
              <w:rPr>
                <w:b w:val="false"/>
                <w:bCs w:val="false"/>
                <w:color w:val="1B1B1F"/>
                <w:sz w:val="20"/>
                <w:szCs w:val="20"/>
              </w:rPr>
              <w:t xml:space="preserve">As soon as reasonably possible</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NDPA (Nigeria) — NDPC</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Personal data breach likely to result in risk to data subjects.</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72 hours</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KDPA (Kenya) — ODPC</w:t>
            </w:r>
          </w:p>
        </w:tc>
        <w:tc>
          <w:tcPr>
            <w:tcMar>
              <w:top w:type="dxa" w:w="80"/>
              <w:left w:type="dxa" w:w="120"/>
              <w:bottom w:type="dxa" w:w="80"/>
              <w:right w:type="dxa" w:w="120"/>
            </w:tcMar>
          </w:tcPr>
          <w:p>
            <w:pPr>
              <w:spacing w:after="40"/>
              <w:jc w:val="left"/>
            </w:pPr>
            <w:r>
              <w:rPr>
                <w:b w:val="false"/>
                <w:bCs w:val="false"/>
                <w:color w:val="1B1B1F"/>
                <w:sz w:val="20"/>
                <w:szCs w:val="20"/>
              </w:rPr>
              <w:t xml:space="preserve">Personal data breach with real risk of harm.</w:t>
            </w:r>
          </w:p>
        </w:tc>
        <w:tc>
          <w:tcPr>
            <w:tcMar>
              <w:top w:type="dxa" w:w="80"/>
              <w:left w:type="dxa" w:w="120"/>
              <w:bottom w:type="dxa" w:w="80"/>
              <w:right w:type="dxa" w:w="120"/>
            </w:tcMar>
          </w:tcPr>
          <w:p>
            <w:pPr>
              <w:spacing w:after="40"/>
              <w:jc w:val="center"/>
            </w:pPr>
            <w:r>
              <w:rPr>
                <w:b w:val="false"/>
                <w:bCs w:val="false"/>
                <w:color w:val="1B1B1F"/>
                <w:sz w:val="20"/>
                <w:szCs w:val="20"/>
              </w:rPr>
              <w:t xml:space="preserve">72 hours</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Ghana DPA — Data Protection Commission</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Unauthorised access to or destruction of personal data.</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Without undue delay (~72h)</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GDPR (where applicable)</w:t>
            </w:r>
          </w:p>
        </w:tc>
        <w:tc>
          <w:tcPr>
            <w:tcMar>
              <w:top w:type="dxa" w:w="80"/>
              <w:left w:type="dxa" w:w="120"/>
              <w:bottom w:type="dxa" w:w="80"/>
              <w:right w:type="dxa" w:w="120"/>
            </w:tcMar>
          </w:tcPr>
          <w:p>
            <w:pPr>
              <w:spacing w:after="40"/>
              <w:jc w:val="left"/>
            </w:pPr>
            <w:r>
              <w:rPr>
                <w:b w:val="false"/>
                <w:bCs w:val="false"/>
                <w:color w:val="1B1B1F"/>
                <w:sz w:val="20"/>
                <w:szCs w:val="20"/>
              </w:rPr>
              <w:t xml:space="preserve">Personal data breach involving EU data subjects.</w:t>
            </w:r>
          </w:p>
        </w:tc>
        <w:tc>
          <w:tcPr>
            <w:tcMar>
              <w:top w:type="dxa" w:w="80"/>
              <w:left w:type="dxa" w:w="120"/>
              <w:bottom w:type="dxa" w:w="80"/>
              <w:right w:type="dxa" w:w="120"/>
            </w:tcMar>
          </w:tcPr>
          <w:p>
            <w:pPr>
              <w:spacing w:after="40"/>
              <w:jc w:val="center"/>
            </w:pPr>
            <w:r>
              <w:rPr>
                <w:b w:val="false"/>
                <w:bCs w:val="false"/>
                <w:color w:val="1B1B1F"/>
                <w:sz w:val="20"/>
                <w:szCs w:val="20"/>
              </w:rPr>
              <w:t xml:space="preserve">72 hours</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SARB / CBN / CMA / BoG (financial supervisor)</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Material operational, cyber or model-risk incidents (per local notification rules).</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Per local rules</w:t>
            </w:r>
          </w:p>
        </w:tc>
      </w:tr>
    </w:tbl>
    <w:p>
      <w:pPr>
        <w:pStyle w:val="Heading1"/>
        <w:spacing w:after="160" w:before="360"/>
      </w:pPr>
      <w:r>
        <w:rPr>
          <w:b/>
          <w:bCs/>
          <w:color w:val="1F3864"/>
          <w:sz w:val="30"/>
          <w:szCs w:val="30"/>
        </w:rPr>
        <w:t xml:space="preserve">9. Incident Classification</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tblGrid>
      <w:tr>
        <w:trPr>
          <w:tblHeader/>
        </w:trPr>
        <w:tc>
          <w:tcPr>
            <w:tcW w:type="pct" w:w="14%"/>
            <w:shd w:fill="1F3864" w:color="auto" w:val="clear"/>
            <w:tcMar>
              <w:top w:type="dxa" w:w="80"/>
              <w:left w:type="dxa" w:w="120"/>
              <w:bottom w:type="dxa" w:w="80"/>
              <w:right w:type="dxa" w:w="120"/>
            </w:tcMar>
          </w:tcPr>
          <w:p>
            <w:pPr>
              <w:spacing w:after="40"/>
              <w:jc w:val="center"/>
            </w:pPr>
            <w:r>
              <w:rPr>
                <w:b/>
                <w:bCs/>
                <w:color w:val="FFFFFF"/>
                <w:sz w:val="20"/>
                <w:szCs w:val="20"/>
              </w:rPr>
              <w:t xml:space="preserve">Severity</w:t>
            </w:r>
          </w:p>
        </w:tc>
        <w:tc>
          <w:tcPr>
            <w:tcW w:type="pct" w:w="50%"/>
            <w:shd w:fill="1F3864" w:color="auto" w:val="clear"/>
            <w:tcMar>
              <w:top w:type="dxa" w:w="80"/>
              <w:left w:type="dxa" w:w="120"/>
              <w:bottom w:type="dxa" w:w="80"/>
              <w:right w:type="dxa" w:w="120"/>
            </w:tcMar>
          </w:tcPr>
          <w:p>
            <w:pPr>
              <w:spacing w:after="40"/>
              <w:jc w:val="left"/>
            </w:pPr>
            <w:r>
              <w:rPr>
                <w:b/>
                <w:bCs/>
                <w:color w:val="FFFFFF"/>
                <w:sz w:val="20"/>
                <w:szCs w:val="20"/>
              </w:rPr>
              <w:t xml:space="preserve">Definition</w:t>
            </w:r>
          </w:p>
        </w:tc>
        <w:tc>
          <w:tcPr>
            <w:tcW w:type="pct" w:w="36%"/>
            <w:shd w:fill="1F3864" w:color="auto" w:val="clear"/>
            <w:tcMar>
              <w:top w:type="dxa" w:w="80"/>
              <w:left w:type="dxa" w:w="120"/>
              <w:bottom w:type="dxa" w:w="80"/>
              <w:right w:type="dxa" w:w="120"/>
            </w:tcMar>
          </w:tcPr>
          <w:p>
            <w:pPr>
              <w:spacing w:after="40"/>
              <w:jc w:val="left"/>
            </w:pPr>
            <w:r>
              <w:rPr>
                <w:b/>
                <w:bCs/>
                <w:color w:val="FFFFFF"/>
                <w:sz w:val="20"/>
                <w:szCs w:val="20"/>
              </w:rPr>
              <w:t xml:space="preserve">Examples</w:t>
            </w:r>
          </w:p>
        </w:tc>
      </w:tr>
      <w:tr>
        <w:tc>
          <w:tcPr>
            <w:tcMar>
              <w:top w:type="dxa" w:w="80"/>
              <w:left w:type="dxa" w:w="120"/>
              <w:bottom w:type="dxa" w:w="80"/>
              <w:right w:type="dxa" w:w="120"/>
            </w:tcMar>
          </w:tcPr>
          <w:p>
            <w:pPr>
              <w:spacing w:after="40"/>
              <w:jc w:val="center"/>
            </w:pPr>
            <w:r>
              <w:rPr>
                <w:b/>
                <w:bCs/>
                <w:color w:val="B23A3A"/>
                <w:sz w:val="20"/>
                <w:szCs w:val="20"/>
              </w:rPr>
              <w:t xml:space="preserve">P1 — Critical</w:t>
            </w:r>
          </w:p>
        </w:tc>
        <w:tc>
          <w:tcPr>
            <w:tcMar>
              <w:top w:type="dxa" w:w="80"/>
              <w:left w:type="dxa" w:w="120"/>
              <w:bottom w:type="dxa" w:w="80"/>
              <w:right w:type="dxa" w:w="120"/>
            </w:tcMar>
          </w:tcPr>
          <w:p>
            <w:pPr>
              <w:spacing w:after="40"/>
              <w:jc w:val="left"/>
            </w:pPr>
            <w:r>
              <w:rPr>
                <w:b w:val="false"/>
                <w:bCs w:val="false"/>
                <w:color w:val="1B1B1F"/>
                <w:sz w:val="20"/>
                <w:szCs w:val="20"/>
              </w:rPr>
              <w:t xml:space="preserve">Confirmed material customer impact, regulator notification likely, or organisational reputational risk. Immediate escalation; emergency response.</w:t>
            </w:r>
          </w:p>
        </w:tc>
        <w:tc>
          <w:tcPr>
            <w:tcMar>
              <w:top w:type="dxa" w:w="80"/>
              <w:left w:type="dxa" w:w="120"/>
              <w:bottom w:type="dxa" w:w="80"/>
              <w:right w:type="dxa" w:w="120"/>
            </w:tcMar>
          </w:tcPr>
          <w:p>
            <w:pPr>
              <w:spacing w:after="40"/>
              <w:jc w:val="left"/>
            </w:pPr>
            <w:r>
              <w:rPr>
                <w:b w:val="false"/>
                <w:bCs w:val="false"/>
                <w:color w:val="1B1B1F"/>
                <w:sz w:val="20"/>
                <w:szCs w:val="20"/>
              </w:rPr>
              <w:t xml:space="preserve">Customer PII leakage; secret leak with active exploitation; Tier 4 use case in production.</w:t>
            </w:r>
          </w:p>
        </w:tc>
      </w:tr>
      <w:tr>
        <w:tc>
          <w:tcPr>
            <w:shd w:fill="F3F6FC" w:color="auto" w:val="clear"/>
            <w:tcMar>
              <w:top w:type="dxa" w:w="80"/>
              <w:left w:type="dxa" w:w="120"/>
              <w:bottom w:type="dxa" w:w="80"/>
              <w:right w:type="dxa" w:w="120"/>
            </w:tcMar>
          </w:tcPr>
          <w:p>
            <w:pPr>
              <w:spacing w:after="40"/>
              <w:jc w:val="center"/>
            </w:pPr>
            <w:r>
              <w:rPr>
                <w:b/>
                <w:bCs/>
                <w:color w:val="E2A72E"/>
                <w:sz w:val="20"/>
                <w:szCs w:val="20"/>
              </w:rPr>
              <w:t xml:space="preserve">P2 — High</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Material control failure or near-customer-impact event; rapid containment required.</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Successful prompt injection on internal tool; spend runaway; oversharing exposing material internal docs.</w:t>
            </w:r>
          </w:p>
        </w:tc>
      </w:tr>
      <w:tr>
        <w:tc>
          <w:tcPr>
            <w:tcMar>
              <w:top w:type="dxa" w:w="80"/>
              <w:left w:type="dxa" w:w="120"/>
              <w:bottom w:type="dxa" w:w="80"/>
              <w:right w:type="dxa" w:w="120"/>
            </w:tcMar>
          </w:tcPr>
          <w:p>
            <w:pPr>
              <w:spacing w:after="40"/>
              <w:jc w:val="center"/>
            </w:pPr>
            <w:r>
              <w:rPr>
                <w:b/>
                <w:bCs/>
                <w:color w:val="1B1B1F"/>
                <w:sz w:val="20"/>
                <w:szCs w:val="20"/>
              </w:rPr>
              <w:t xml:space="preserve">P3 — Medium</w:t>
            </w:r>
          </w:p>
        </w:tc>
        <w:tc>
          <w:tcPr>
            <w:tcMar>
              <w:top w:type="dxa" w:w="80"/>
              <w:left w:type="dxa" w:w="120"/>
              <w:bottom w:type="dxa" w:w="80"/>
              <w:right w:type="dxa" w:w="120"/>
            </w:tcMar>
          </w:tcPr>
          <w:p>
            <w:pPr>
              <w:spacing w:after="40"/>
              <w:jc w:val="left"/>
            </w:pPr>
            <w:r>
              <w:rPr>
                <w:b w:val="false"/>
                <w:bCs w:val="false"/>
                <w:color w:val="1B1B1F"/>
                <w:sz w:val="20"/>
                <w:szCs w:val="20"/>
              </w:rPr>
              <w:t xml:space="preserve">Control gap with limited or contained impact; requires action within business-day SLAs.</w:t>
            </w:r>
          </w:p>
        </w:tc>
        <w:tc>
          <w:tcPr>
            <w:tcMar>
              <w:top w:type="dxa" w:w="80"/>
              <w:left w:type="dxa" w:w="120"/>
              <w:bottom w:type="dxa" w:w="80"/>
              <w:right w:type="dxa" w:w="120"/>
            </w:tcMar>
          </w:tcPr>
          <w:p>
            <w:pPr>
              <w:spacing w:after="40"/>
              <w:jc w:val="left"/>
            </w:pPr>
            <w:r>
              <w:rPr>
                <w:b w:val="false"/>
                <w:bCs w:val="false"/>
                <w:color w:val="1B1B1F"/>
                <w:sz w:val="20"/>
                <w:szCs w:val="20"/>
              </w:rPr>
              <w:t xml:space="preserve">Unapproved tool use with no data loss; unregistered citizen agent; quality regression.</w:t>
            </w:r>
          </w:p>
        </w:tc>
      </w:tr>
      <w:tr>
        <w:tc>
          <w:tcPr>
            <w:shd w:fill="F3F6FC" w:color="auto" w:val="clear"/>
            <w:tcMar>
              <w:top w:type="dxa" w:w="80"/>
              <w:left w:type="dxa" w:w="120"/>
              <w:bottom w:type="dxa" w:w="80"/>
              <w:right w:type="dxa" w:w="120"/>
            </w:tcMar>
          </w:tcPr>
          <w:p>
            <w:pPr>
              <w:spacing w:after="40"/>
              <w:jc w:val="center"/>
            </w:pPr>
            <w:r>
              <w:rPr>
                <w:b/>
                <w:bCs/>
                <w:color w:val="2F7D4F"/>
                <w:sz w:val="20"/>
                <w:szCs w:val="20"/>
              </w:rPr>
              <w:t xml:space="preserve">P4 — Low / near-miss</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Behaviour or condition that could become an incident; addressed via standard controls.</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Reported hallucination not used; warning fired but no action taken.</w:t>
            </w:r>
          </w:p>
        </w:tc>
      </w:tr>
    </w:tbl>
    <w:p>
      <w:pPr>
        <w:pStyle w:val="Heading1"/>
        <w:spacing w:after="160" w:before="360"/>
      </w:pPr>
      <w:r>
        <w:rPr>
          <w:b/>
          <w:bCs/>
          <w:color w:val="1F3864"/>
          <w:sz w:val="30"/>
          <w:szCs w:val="30"/>
        </w:rPr>
        <w:t xml:space="preserve">10. Post-Incident Review (PIR)</w:t>
      </w:r>
    </w:p>
    <w:p>
      <w:pPr>
        <w:spacing w:after="120" w:line="300"/>
      </w:pPr>
      <w:r>
        <w:t xml:space="preserve">Every P1 / P2 incident is reviewed in writing within 5 business days. P3 incidents within 10. P4 events are aggregated monthly. Reviews are blameless — the goal is to fix the system.</w:t>
      </w:r>
    </w:p>
    <w:p>
      <w:pPr>
        <w:pStyle w:val="ListParagraph"/>
        <w:numPr>
          <w:ilvl w:val="0"/>
          <w:numId w:val="2"/>
        </w:numPr>
        <w:spacing w:after="80" w:line="280"/>
      </w:pPr>
      <w:r>
        <w:t xml:space="preserve">Timeline — what happened, in clock time, with the data sources used to reconstruct it.</w:t>
      </w:r>
    </w:p>
    <w:p>
      <w:pPr>
        <w:pStyle w:val="ListParagraph"/>
        <w:numPr>
          <w:ilvl w:val="0"/>
          <w:numId w:val="2"/>
        </w:numPr>
        <w:spacing w:after="80" w:line="280"/>
      </w:pPr>
      <w:r>
        <w:t xml:space="preserve">Impact — customers, employees, financials, regulator exposure.</w:t>
      </w:r>
    </w:p>
    <w:p>
      <w:pPr>
        <w:pStyle w:val="ListParagraph"/>
        <w:numPr>
          <w:ilvl w:val="0"/>
          <w:numId w:val="2"/>
        </w:numPr>
        <w:spacing w:after="80" w:line="280"/>
      </w:pPr>
      <w:r>
        <w:t xml:space="preserve">Root cause — technical, process, control or human; the 5-whys are applied.</w:t>
      </w:r>
    </w:p>
    <w:p>
      <w:pPr>
        <w:pStyle w:val="ListParagraph"/>
        <w:numPr>
          <w:ilvl w:val="0"/>
          <w:numId w:val="2"/>
        </w:numPr>
        <w:spacing w:after="80" w:line="280"/>
      </w:pPr>
      <w:r>
        <w:t xml:space="preserve">What worked — controls that fired, decisions that were quick and right.</w:t>
      </w:r>
    </w:p>
    <w:p>
      <w:pPr>
        <w:pStyle w:val="ListParagraph"/>
        <w:numPr>
          <w:ilvl w:val="0"/>
          <w:numId w:val="2"/>
        </w:numPr>
        <w:spacing w:after="80" w:line="280"/>
      </w:pPr>
      <w:r>
        <w:t xml:space="preserve">What didn't — gaps in detection, response, communication.</w:t>
      </w:r>
    </w:p>
    <w:p>
      <w:pPr>
        <w:pStyle w:val="ListParagraph"/>
        <w:numPr>
          <w:ilvl w:val="0"/>
          <w:numId w:val="2"/>
        </w:numPr>
        <w:spacing w:after="80" w:line="280"/>
      </w:pPr>
      <w:r>
        <w:t xml:space="preserve">Actions — owner, due date, target control to update; tracked through to closure in ServiceNow.</w:t>
      </w:r>
    </w:p>
    <w:p>
      <w:pPr>
        <w:pStyle w:val="ListParagraph"/>
        <w:numPr>
          <w:ilvl w:val="0"/>
          <w:numId w:val="2"/>
        </w:numPr>
        <w:spacing w:after="80" w:line="280"/>
      </w:pPr>
      <w:r>
        <w:t xml:space="preserve">Lessons — short briefing for staff; updates to AUP / Control Register / this Playbook as needed.</w:t>
      </w:r>
    </w:p>
    <w:p>
      <w:pPr>
        <w:pStyle w:val="Heading1"/>
        <w:spacing w:after="160" w:before="360"/>
      </w:pPr>
      <w:r>
        <w:rPr>
          <w:b/>
          <w:bCs/>
          <w:color w:val="1F3864"/>
          <w:sz w:val="30"/>
          <w:szCs w:val="30"/>
        </w:rPr>
        <w:t xml:space="preserve">11. Metrics and Reporting</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gridCol w:w="100"/>
      </w:tblGrid>
      <w:tr>
        <w:trPr>
          <w:tblHeader/>
        </w:trPr>
        <w:tc>
          <w:tcPr>
            <w:tcW w:type="pct" w:w="36%"/>
            <w:shd w:fill="1F3864" w:color="auto" w:val="clear"/>
            <w:tcMar>
              <w:top w:type="dxa" w:w="80"/>
              <w:left w:type="dxa" w:w="120"/>
              <w:bottom w:type="dxa" w:w="80"/>
              <w:right w:type="dxa" w:w="120"/>
            </w:tcMar>
          </w:tcPr>
          <w:p>
            <w:pPr>
              <w:spacing w:after="40"/>
              <w:jc w:val="left"/>
            </w:pPr>
            <w:r>
              <w:rPr>
                <w:b/>
                <w:bCs/>
                <w:color w:val="FFFFFF"/>
                <w:sz w:val="20"/>
                <w:szCs w:val="20"/>
              </w:rPr>
              <w:t xml:space="preserve">Metric</w:t>
            </w:r>
          </w:p>
        </w:tc>
        <w:tc>
          <w:tcPr>
            <w:tcW w:type="pct" w:w="24%"/>
            <w:shd w:fill="1F3864" w:color="auto" w:val="clear"/>
            <w:tcMar>
              <w:top w:type="dxa" w:w="80"/>
              <w:left w:type="dxa" w:w="120"/>
              <w:bottom w:type="dxa" w:w="80"/>
              <w:right w:type="dxa" w:w="120"/>
            </w:tcMar>
          </w:tcPr>
          <w:p>
            <w:pPr>
              <w:spacing w:after="40"/>
              <w:jc w:val="left"/>
            </w:pPr>
            <w:r>
              <w:rPr>
                <w:b/>
                <w:bCs/>
                <w:color w:val="FFFFFF"/>
                <w:sz w:val="20"/>
                <w:szCs w:val="20"/>
              </w:rPr>
              <w:t xml:space="preserve">Target</w:t>
            </w:r>
          </w:p>
        </w:tc>
        <w:tc>
          <w:tcPr>
            <w:tcW w:type="pct" w:w="16%"/>
            <w:shd w:fill="1F3864" w:color="auto" w:val="clear"/>
            <w:tcMar>
              <w:top w:type="dxa" w:w="80"/>
              <w:left w:type="dxa" w:w="120"/>
              <w:bottom w:type="dxa" w:w="80"/>
              <w:right w:type="dxa" w:w="120"/>
            </w:tcMar>
          </w:tcPr>
          <w:p>
            <w:pPr>
              <w:spacing w:after="40"/>
              <w:jc w:val="center"/>
            </w:pPr>
            <w:r>
              <w:rPr>
                <w:b/>
                <w:bCs/>
                <w:color w:val="FFFFFF"/>
                <w:sz w:val="20"/>
                <w:szCs w:val="20"/>
              </w:rPr>
              <w:t xml:space="preserve">Cadence</w:t>
            </w:r>
          </w:p>
        </w:tc>
        <w:tc>
          <w:tcPr>
            <w:tcW w:type="pct" w:w="24%"/>
            <w:shd w:fill="1F3864" w:color="auto" w:val="clear"/>
            <w:tcMar>
              <w:top w:type="dxa" w:w="80"/>
              <w:left w:type="dxa" w:w="120"/>
              <w:bottom w:type="dxa" w:w="80"/>
              <w:right w:type="dxa" w:w="120"/>
            </w:tcMar>
          </w:tcPr>
          <w:p>
            <w:pPr>
              <w:spacing w:after="40"/>
              <w:jc w:val="left"/>
            </w:pPr>
            <w:r>
              <w:rPr>
                <w:b/>
                <w:bCs/>
                <w:color w:val="FFFFFF"/>
                <w:sz w:val="20"/>
                <w:szCs w:val="20"/>
              </w:rPr>
              <w:t xml:space="preserve">Audience</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Mean time to acknowledge (MTTA) for P1</w:t>
            </w:r>
          </w:p>
        </w:tc>
        <w:tc>
          <w:tcPr>
            <w:tcMar>
              <w:top w:type="dxa" w:w="80"/>
              <w:left w:type="dxa" w:w="120"/>
              <w:bottom w:type="dxa" w:w="80"/>
              <w:right w:type="dxa" w:w="120"/>
            </w:tcMar>
          </w:tcPr>
          <w:p>
            <w:pPr>
              <w:spacing w:after="40"/>
              <w:jc w:val="left"/>
            </w:pPr>
            <w:r>
              <w:rPr>
                <w:b w:val="false"/>
                <w:bCs w:val="false"/>
                <w:color w:val="1B1B1F"/>
                <w:sz w:val="20"/>
                <w:szCs w:val="20"/>
              </w:rPr>
              <w:t xml:space="preserve">≤ 15 minutes</w:t>
            </w:r>
          </w:p>
        </w:tc>
        <w:tc>
          <w:tcPr>
            <w:tcMar>
              <w:top w:type="dxa" w:w="80"/>
              <w:left w:type="dxa" w:w="120"/>
              <w:bottom w:type="dxa" w:w="80"/>
              <w:right w:type="dxa" w:w="120"/>
            </w:tcMar>
          </w:tcPr>
          <w:p>
            <w:pPr>
              <w:spacing w:after="40"/>
              <w:jc w:val="center"/>
            </w:pPr>
            <w:r>
              <w:rPr>
                <w:b w:val="false"/>
                <w:bCs w:val="false"/>
                <w:color w:val="1B1B1F"/>
                <w:sz w:val="20"/>
                <w:szCs w:val="20"/>
              </w:rPr>
              <w:t xml:space="preserve">Monthly</w:t>
            </w:r>
          </w:p>
        </w:tc>
        <w:tc>
          <w:tcPr>
            <w:tcMar>
              <w:top w:type="dxa" w:w="80"/>
              <w:left w:type="dxa" w:w="120"/>
              <w:bottom w:type="dxa" w:w="80"/>
              <w:right w:type="dxa" w:w="120"/>
            </w:tcMar>
          </w:tcPr>
          <w:p>
            <w:pPr>
              <w:spacing w:after="40"/>
              <w:jc w:val="left"/>
            </w:pPr>
            <w:r>
              <w:rPr>
                <w:b w:val="false"/>
                <w:bCs w:val="false"/>
                <w:color w:val="1B1B1F"/>
                <w:sz w:val="20"/>
                <w:szCs w:val="20"/>
              </w:rPr>
              <w:t xml:space="preserve">AI Council, ExCo</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Mean time to contain (MTTC) for P1</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 4 hours</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Monthly</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AI Council, ExCo</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 of P1 / P2 with PIR within SLA</w:t>
            </w:r>
          </w:p>
        </w:tc>
        <w:tc>
          <w:tcPr>
            <w:tcMar>
              <w:top w:type="dxa" w:w="80"/>
              <w:left w:type="dxa" w:w="120"/>
              <w:bottom w:type="dxa" w:w="80"/>
              <w:right w:type="dxa" w:w="120"/>
            </w:tcMar>
          </w:tcPr>
          <w:p>
            <w:pPr>
              <w:spacing w:after="40"/>
              <w:jc w:val="left"/>
            </w:pPr>
            <w:r>
              <w:rPr>
                <w:b w:val="false"/>
                <w:bCs w:val="false"/>
                <w:color w:val="1B1B1F"/>
                <w:sz w:val="20"/>
                <w:szCs w:val="20"/>
              </w:rPr>
              <w:t xml:space="preserve">100%</w:t>
            </w:r>
          </w:p>
        </w:tc>
        <w:tc>
          <w:tcPr>
            <w:tcMar>
              <w:top w:type="dxa" w:w="80"/>
              <w:left w:type="dxa" w:w="120"/>
              <w:bottom w:type="dxa" w:w="80"/>
              <w:right w:type="dxa" w:w="120"/>
            </w:tcMar>
          </w:tcPr>
          <w:p>
            <w:pPr>
              <w:spacing w:after="40"/>
              <w:jc w:val="center"/>
            </w:pPr>
            <w:r>
              <w:rPr>
                <w:b w:val="false"/>
                <w:bCs w:val="false"/>
                <w:color w:val="1B1B1F"/>
                <w:sz w:val="20"/>
                <w:szCs w:val="20"/>
              </w:rPr>
              <w:t xml:space="preserve">Monthly</w:t>
            </w:r>
          </w:p>
        </w:tc>
        <w:tc>
          <w:tcPr>
            <w:tcMar>
              <w:top w:type="dxa" w:w="80"/>
              <w:left w:type="dxa" w:w="120"/>
              <w:bottom w:type="dxa" w:w="80"/>
              <w:right w:type="dxa" w:w="120"/>
            </w:tcMar>
          </w:tcPr>
          <w:p>
            <w:pPr>
              <w:spacing w:after="40"/>
              <w:jc w:val="left"/>
            </w:pPr>
            <w:r>
              <w:rPr>
                <w:b w:val="false"/>
                <w:bCs w:val="false"/>
                <w:color w:val="1B1B1F"/>
                <w:sz w:val="20"/>
                <w:szCs w:val="20"/>
              </w:rPr>
              <w:t xml:space="preserve">AI Council</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Repeat-cause incidents</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0</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Quarterly</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AI Council</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 of staff completing AUP attestation</w:t>
            </w:r>
          </w:p>
        </w:tc>
        <w:tc>
          <w:tcPr>
            <w:tcMar>
              <w:top w:type="dxa" w:w="80"/>
              <w:left w:type="dxa" w:w="120"/>
              <w:bottom w:type="dxa" w:w="80"/>
              <w:right w:type="dxa" w:w="120"/>
            </w:tcMar>
          </w:tcPr>
          <w:p>
            <w:pPr>
              <w:spacing w:after="40"/>
              <w:jc w:val="left"/>
            </w:pPr>
            <w:r>
              <w:rPr>
                <w:b w:val="false"/>
                <w:bCs w:val="false"/>
                <w:color w:val="1B1B1F"/>
                <w:sz w:val="20"/>
                <w:szCs w:val="20"/>
              </w:rPr>
              <w:t xml:space="preserve">≥ 95%</w:t>
            </w:r>
          </w:p>
        </w:tc>
        <w:tc>
          <w:tcPr>
            <w:tcMar>
              <w:top w:type="dxa" w:w="80"/>
              <w:left w:type="dxa" w:w="120"/>
              <w:bottom w:type="dxa" w:w="80"/>
              <w:right w:type="dxa" w:w="120"/>
            </w:tcMar>
          </w:tcPr>
          <w:p>
            <w:pPr>
              <w:spacing w:after="40"/>
              <w:jc w:val="center"/>
            </w:pPr>
            <w:r>
              <w:rPr>
                <w:b w:val="false"/>
                <w:bCs w:val="false"/>
                <w:color w:val="1B1B1F"/>
                <w:sz w:val="20"/>
                <w:szCs w:val="20"/>
              </w:rPr>
              <w:t xml:space="preserve">Quarterly</w:t>
            </w:r>
          </w:p>
        </w:tc>
        <w:tc>
          <w:tcPr>
            <w:tcMar>
              <w:top w:type="dxa" w:w="80"/>
              <w:left w:type="dxa" w:w="120"/>
              <w:bottom w:type="dxa" w:w="80"/>
              <w:right w:type="dxa" w:w="120"/>
            </w:tcMar>
          </w:tcPr>
          <w:p>
            <w:pPr>
              <w:spacing w:after="40"/>
              <w:jc w:val="left"/>
            </w:pPr>
            <w:r>
              <w:rPr>
                <w:b w:val="false"/>
                <w:bCs w:val="false"/>
                <w:color w:val="1B1B1F"/>
                <w:sz w:val="20"/>
                <w:szCs w:val="20"/>
              </w:rPr>
              <w:t xml:space="preserve">ExCo</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AI alerts volume by type</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Trend (no specific target)</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Monthly</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SOC, AI Council</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Coverage of approved-tool allow-list</w:t>
            </w:r>
          </w:p>
        </w:tc>
        <w:tc>
          <w:tcPr>
            <w:tcMar>
              <w:top w:type="dxa" w:w="80"/>
              <w:left w:type="dxa" w:w="120"/>
              <w:bottom w:type="dxa" w:w="80"/>
              <w:right w:type="dxa" w:w="120"/>
            </w:tcMar>
          </w:tcPr>
          <w:p>
            <w:pPr>
              <w:spacing w:after="40"/>
              <w:jc w:val="left"/>
            </w:pPr>
            <w:r>
              <w:rPr>
                <w:b w:val="false"/>
                <w:bCs w:val="false"/>
                <w:color w:val="1B1B1F"/>
                <w:sz w:val="20"/>
                <w:szCs w:val="20"/>
              </w:rPr>
              <w:t xml:space="preserve">100% of tools enforced</w:t>
            </w:r>
          </w:p>
        </w:tc>
        <w:tc>
          <w:tcPr>
            <w:tcMar>
              <w:top w:type="dxa" w:w="80"/>
              <w:left w:type="dxa" w:w="120"/>
              <w:bottom w:type="dxa" w:w="80"/>
              <w:right w:type="dxa" w:w="120"/>
            </w:tcMar>
          </w:tcPr>
          <w:p>
            <w:pPr>
              <w:spacing w:after="40"/>
              <w:jc w:val="center"/>
            </w:pPr>
            <w:r>
              <w:rPr>
                <w:b w:val="false"/>
                <w:bCs w:val="false"/>
                <w:color w:val="1B1B1F"/>
                <w:sz w:val="20"/>
                <w:szCs w:val="20"/>
              </w:rPr>
              <w:t xml:space="preserve">Quarterly</w:t>
            </w:r>
          </w:p>
        </w:tc>
        <w:tc>
          <w:tcPr>
            <w:tcMar>
              <w:top w:type="dxa" w:w="80"/>
              <w:left w:type="dxa" w:w="120"/>
              <w:bottom w:type="dxa" w:w="80"/>
              <w:right w:type="dxa" w:w="120"/>
            </w:tcMar>
          </w:tcPr>
          <w:p>
            <w:pPr>
              <w:spacing w:after="40"/>
              <w:jc w:val="left"/>
            </w:pPr>
            <w:r>
              <w:rPr>
                <w:b w:val="false"/>
                <w:bCs w:val="false"/>
                <w:color w:val="1B1B1F"/>
                <w:sz w:val="20"/>
                <w:szCs w:val="20"/>
              </w:rPr>
              <w:t xml:space="preserve">AI Council</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Time since last red-team exercise</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 90 days</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Quarterly</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AI Council, BRC</w:t>
            </w:r>
          </w:p>
        </w:tc>
      </w:tr>
    </w:tbl>
    <w:p>
      <w:pPr>
        <w:pStyle w:val="Heading1"/>
        <w:spacing w:after="160" w:before="360"/>
      </w:pPr>
      <w:r>
        <w:rPr>
          <w:b/>
          <w:bCs/>
          <w:color w:val="1F3864"/>
          <w:sz w:val="30"/>
          <w:szCs w:val="30"/>
        </w:rPr>
        <w:t xml:space="preserve">12. Annexes</w:t>
      </w:r>
    </w:p>
    <w:p>
      <w:pPr>
        <w:pStyle w:val="ListParagraph"/>
        <w:numPr>
          <w:ilvl w:val="0"/>
          <w:numId w:val="2"/>
        </w:numPr>
        <w:spacing w:after="80" w:line="280"/>
      </w:pPr>
      <w:r>
        <w:t xml:space="preserve">Annex A — Sentinel runbooks per playbook (linked from the Sentinel workspace).</w:t>
      </w:r>
    </w:p>
    <w:p>
      <w:pPr>
        <w:pStyle w:val="ListParagraph"/>
        <w:numPr>
          <w:ilvl w:val="0"/>
          <w:numId w:val="2"/>
        </w:numPr>
        <w:spacing w:after="80" w:line="280"/>
      </w:pPr>
      <w:r>
        <w:t xml:space="preserve">Annex B — Detection-rule library (KQL) for AI alerts.</w:t>
      </w:r>
    </w:p>
    <w:p>
      <w:pPr>
        <w:pStyle w:val="ListParagraph"/>
        <w:numPr>
          <w:ilvl w:val="0"/>
          <w:numId w:val="2"/>
        </w:numPr>
        <w:spacing w:after="80" w:line="280"/>
      </w:pPr>
      <w:r>
        <w:t xml:space="preserve">Annex C — DPIA decision tree for AI incidents involving personal data.</w:t>
      </w:r>
    </w:p>
    <w:p>
      <w:pPr>
        <w:pStyle w:val="ListParagraph"/>
        <w:numPr>
          <w:ilvl w:val="0"/>
          <w:numId w:val="2"/>
        </w:numPr>
        <w:spacing w:after="80" w:line="280"/>
      </w:pPr>
      <w:r>
        <w:t xml:space="preserve">Annex D — Customer comms templates (held with GC; require GC sign-off before use).</w:t>
      </w:r>
    </w:p>
    <w:p>
      <w:pPr>
        <w:pStyle w:val="ListParagraph"/>
        <w:numPr>
          <w:ilvl w:val="0"/>
          <w:numId w:val="2"/>
        </w:numPr>
        <w:spacing w:after="80" w:line="280"/>
      </w:pPr>
      <w:r>
        <w:t xml:space="preserve">Annex E — Regulator notification templates (held with DPO and GC).</w:t>
      </w:r>
    </w:p>
    <w:sectPr>
      <w:headerReference w:type="default" r:id="rId7"/>
      <w:footerReference w:type="default" r:id="rId8"/>
      <w:pgSz w:w="11906" w:h="16838"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66"/>
        <w:sz w:val="18"/>
        <w:szCs w:val="18"/>
      </w:rPr>
      <w:t xml:space="preserve">Page </w:t>
    </w:r>
    <w:r>
      <w:rPr>
        <w:color w:val="5A5A66"/>
        <w:sz w:val="18"/>
        <w:szCs w:val="18"/>
      </w:rPr>
      <w:fldChar w:fldCharType="begin"/>
      <w:instrText xml:space="preserve">PAGE</w:instrText>
      <w:fldChar w:fldCharType="separate"/>
      <w:fldChar w:fldCharType="end"/>
    </w:r>
    <w:r>
      <w:rPr>
        <w:color w:val="5A5A66"/>
        <w:sz w:val="18"/>
        <w:szCs w:val="18"/>
      </w:rPr>
      <w:t xml:space="preserve"> of </w:t>
    </w:r>
    <w:r>
      <w:rPr>
        <w:color w:val="5A5A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5A66"/>
        <w:sz w:val="18"/>
        <w:szCs w:val="18"/>
      </w:rPr>
      <w:t xml:space="preserve">AI Monitoring &amp; Incident Playbook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B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pPr>
      <w:spacing w:after="160" w:before="360"/>
    </w:pPr>
    <w:rPr>
      <w:rFonts w:ascii="Calibri" w:cs="Calibri" w:eastAsia="Calibri" w:hAnsi="Calibri"/>
      <w:b/>
      <w:bCs/>
      <w:color w:val="1F3864"/>
      <w:sz w:val="30"/>
      <w:szCs w:val="30"/>
    </w:rPr>
  </w:style>
  <w:style w:type="paragraph" w:styleId="Heading2">
    <w:name w:val="Heading 2"/>
    <w:basedOn w:val="Normal"/>
    <w:pPr>
      <w:spacing w:after="120" w:before="240"/>
    </w:pPr>
    <w:rPr>
      <w:rFonts w:ascii="Calibri" w:cs="Calibri" w:eastAsia="Calibri" w:hAnsi="Calibri"/>
      <w:b/>
      <w:bCs/>
      <w:color w:val="0F1F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Monitoring &amp; Incident Playbook v1.0</dc:title>
  <dc:creator>Head of AI &amp; Automation</dc:creator>
  <cp:lastModifiedBy>Un-named</cp:lastModifiedBy>
  <cp:revision>1</cp:revision>
  <dcterms:created xsi:type="dcterms:W3CDTF">2026-04-24T00:54:34.849Z</dcterms:created>
  <dcterms:modified xsi:type="dcterms:W3CDTF">2026-04-24T00:54:34.849Z</dcterms:modified>
</cp:coreProperties>
</file>

<file path=docProps/custom.xml><?xml version="1.0" encoding="utf-8"?>
<Properties xmlns="http://schemas.openxmlformats.org/officeDocument/2006/custom-properties" xmlns:vt="http://schemas.openxmlformats.org/officeDocument/2006/docPropsVTypes"/>
</file>