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4"/>
          <w:szCs w:val="44"/>
        </w:rPr>
        <w:t xml:space="preserve">AI Tools Addendum</w:t>
      </w:r>
    </w:p>
    <w:p>
      <w:pPr>
        <w:spacing w:after="60"/>
        <w:jc w:val="center"/>
      </w:pPr>
      <w:r>
        <w:rPr>
          <w:b/>
          <w:bCs/>
          <w:color w:val="0F1F44"/>
          <w:sz w:val="24"/>
          <w:szCs w:val="24"/>
        </w:rPr>
        <w:t xml:space="preserve">to the Master Services Agreement / Statement of Work</w:t>
      </w:r>
    </w:p>
    <w:p>
      <w:pPr>
        <w:spacing w:after="40"/>
        <w:jc w:val="center"/>
      </w:pPr>
      <w:r>
        <w:rPr>
          <w:i/>
          <w:iCs/>
          <w:color w:val="5A5A66"/>
          <w:sz w:val="22"/>
          <w:szCs w:val="22"/>
        </w:rPr>
        <w:t xml:space="preserve">Template — for staff-augmentation engagements</w:t>
      </w:r>
    </w:p>
    <w:p>
      <w:pPr>
        <w:spacing w:after="280"/>
        <w:jc w:val="center"/>
      </w:pPr>
      <w:r>
        <w:rPr>
          <w:color w:val="5A5A66"/>
          <w:sz w:val="20"/>
          <w:szCs w:val="20"/>
        </w:rPr>
        <w:t xml:space="preserve">Version 1.0  •  Owners: General Counsel + Procurement + Head of AI &amp; Automation  •  Classification: Internal</w:t>
      </w:r>
    </w:p>
    <w:p>
      <w:pPr>
        <w:pBdr>
          <w:bottom w:val="single" w:color="D9D9D9" w:sz="8" w:space="1"/>
        </w:pBdr>
      </w:pPr>
    </w:p>
    <w:p>
      <w:pPr>
        <w:pStyle w:val="Heading1"/>
        <w:spacing w:after="160" w:before="360"/>
      </w:pPr>
      <w:r>
        <w:rPr>
          <w:b/>
          <w:bCs/>
          <w:color w:val="1F3864"/>
          <w:sz w:val="30"/>
          <w:szCs w:val="30"/>
        </w:rPr>
        <w:t xml:space="preserve">Drafter's Preface (remove before signature)</w:t>
      </w:r>
    </w:p>
    <w:p>
      <w:pPr>
        <w:pBdr>
          <w:left w:val="single" w:color="E2A72E" w:sz="16" w:space="8"/>
        </w:pBdr>
        <w:shd w:fill="F3F6FC" w:color="auto" w:val="clear"/>
        <w:spacing w:after="100" w:before="60"/>
      </w:pPr>
      <w:r>
        <w:rPr>
          <w:b/>
          <w:bCs/>
          <w:color w:val="E2A72E"/>
          <w:sz w:val="18"/>
          <w:szCs w:val="18"/>
        </w:rPr>
        <w:t xml:space="preserve">DRAFTER'S NOTE — </w:t>
      </w:r>
      <w:r>
        <w:rPr>
          <w:i/>
          <w:iCs/>
          <w:sz w:val="18"/>
          <w:szCs w:val="18"/>
        </w:rPr>
        <w:t xml:space="preserve">This is a template addendum to be attached to an existing Master Services Agreement (MSA) or Statement of Work (SOW). It assumes a staff-augmentation engagement model. It is reviewed and approved by GC and Procurement; sections written in [square brackets] require completion per engagement; sections marked DRAFTER'S NOTE are guidance for the legal/procurement drafter and are not part of the executed document.</w:t>
      </w:r>
    </w:p>
    <w:p>
      <w:pPr>
        <w:pBdr>
          <w:left w:val="single" w:color="E2A72E" w:sz="16" w:space="8"/>
        </w:pBdr>
        <w:shd w:fill="F3F6FC" w:color="auto" w:val="clear"/>
        <w:spacing w:after="100" w:before="60"/>
      </w:pPr>
      <w:r>
        <w:rPr>
          <w:b/>
          <w:bCs/>
          <w:color w:val="E2A72E"/>
          <w:sz w:val="18"/>
          <w:szCs w:val="18"/>
        </w:rPr>
        <w:t xml:space="preserve">DRAFTER'S NOTE — </w:t>
      </w:r>
      <w:r>
        <w:rPr>
          <w:i/>
          <w:iCs/>
          <w:sz w:val="18"/>
          <w:szCs w:val="18"/>
        </w:rPr>
        <w:t xml:space="preserve">If the engagement is fixed-price SOW or managed-services, use the alternative addendum template (in preparation). Hybrid engagements use this template plus the relevant additions.</w:t>
      </w:r>
    </w:p>
    <w:p>
      <w:pPr>
        <w:pBdr>
          <w:left w:val="single" w:color="E2A72E" w:sz="16" w:space="8"/>
        </w:pBdr>
        <w:shd w:fill="F3F6FC" w:color="auto" w:val="clear"/>
        <w:spacing w:after="100" w:before="60"/>
      </w:pPr>
      <w:r>
        <w:rPr>
          <w:b/>
          <w:bCs/>
          <w:color w:val="E2A72E"/>
          <w:sz w:val="18"/>
          <w:szCs w:val="18"/>
        </w:rPr>
        <w:t xml:space="preserve">DRAFTER'S NOTE — </w:t>
      </w:r>
      <w:r>
        <w:rPr>
          <w:i/>
          <w:iCs/>
          <w:sz w:val="18"/>
          <w:szCs w:val="18"/>
        </w:rPr>
        <w:t xml:space="preserve">Capitalised terms not defined in this Addendum take their meaning from the MSA. In case of conflict between this Addendum and the MSA / SOW, this Addendum prevails for AI-related matters only.</w:t>
      </w:r>
    </w:p>
    <w:p>
      <w:pPr>
        <w:pStyle w:val="Heading1"/>
        <w:spacing w:after="160" w:before="360"/>
      </w:pPr>
      <w:r>
        <w:rPr>
          <w:b/>
          <w:bCs/>
          <w:color w:val="1F3864"/>
          <w:sz w:val="30"/>
          <w:szCs w:val="30"/>
        </w:rPr>
        <w:t xml:space="preserve">Parties and Effective Date</w:t>
      </w:r>
    </w:p>
    <w:p>
      <w:pPr>
        <w:spacing w:after="120" w:line="300"/>
      </w:pPr>
      <w:r>
        <w:t xml:space="preserve">This AI Tools Addendum (the 'Addendum') is entered into between:</w:t>
      </w:r>
    </w:p>
    <w:p>
      <w:pPr>
        <w:spacing w:after="120" w:line="300"/>
      </w:pPr>
      <w:r>
        <w:t xml:space="preserve">(1) [CUSTOMER LEGAL NAME], a [JURISDICTION] company with registered office at [ADDRESS] ('Customer'); and</w:t>
      </w:r>
    </w:p>
    <w:p>
      <w:pPr>
        <w:spacing w:after="120" w:line="300"/>
      </w:pPr>
      <w:r>
        <w:t xml:space="preserve">(2) [VENDOR LEGAL NAME], a [JURISDICTION] company with registered office at [ADDRESS] ('Vendor'),</w:t>
      </w:r>
    </w:p>
    <w:p>
      <w:pPr>
        <w:spacing w:after="120" w:line="300"/>
      </w:pPr>
      <w:r>
        <w:t xml:space="preserve">on [EFFECTIVE DATE], and forms part of the Master Services Agreement between the parties dated [MSA DATE] (the 'MSA') and any Statement of Work entered into under it.</w:t>
      </w:r>
    </w:p>
    <w:p>
      <w:pPr>
        <w:pStyle w:val="Heading1"/>
        <w:spacing w:after="160" w:before="360"/>
      </w:pPr>
      <w:r>
        <w:rPr>
          <w:b/>
          <w:bCs/>
          <w:color w:val="1F3864"/>
          <w:sz w:val="30"/>
          <w:szCs w:val="30"/>
        </w:rPr>
        <w:t xml:space="preserve">1. Background</w:t>
      </w:r>
    </w:p>
    <w:p>
      <w:pPr>
        <w:spacing w:after="100" w:line="280"/>
        <w:ind w:left="360" w:hanging="360"/>
      </w:pPr>
      <w:r>
        <w:rPr>
          <w:b/>
          <w:bCs/>
        </w:rPr>
        <w:t xml:space="preserve">1.1  </w:t>
      </w:r>
      <w:r>
        <w:t xml:space="preserve">The Vendor provides software development services to the Customer on a staff-augmentation basis under the MSA.</w:t>
      </w:r>
    </w:p>
    <w:p>
      <w:pPr>
        <w:spacing w:after="100" w:line="280"/>
        <w:ind w:left="360" w:hanging="360"/>
      </w:pPr>
      <w:r>
        <w:rPr>
          <w:b/>
          <w:bCs/>
        </w:rPr>
        <w:t xml:space="preserve">1.2  </w:t>
      </w:r>
      <w:r>
        <w:t xml:space="preserve">The Customer wishes to enable Vendor Personnel performing services on its codebase to use AI coding tools and AI-enabled development workflows in a controlled and governed manner.</w:t>
      </w:r>
    </w:p>
    <w:p>
      <w:pPr>
        <w:spacing w:after="100" w:line="280"/>
        <w:ind w:left="360" w:hanging="360"/>
      </w:pPr>
      <w:r>
        <w:rPr>
          <w:b/>
          <w:bCs/>
        </w:rPr>
        <w:t xml:space="preserve">1.3  </w:t>
      </w:r>
      <w:r>
        <w:t xml:space="preserve">This Addendum sets the conditions under which Vendor Personnel may use such AI tools, the obligations of the Vendor in respect of those tools, and the way in which productivity outcomes from the use of those tools are measured and shared.</w:t>
      </w:r>
    </w:p>
    <w:p>
      <w:pPr>
        <w:pStyle w:val="Heading1"/>
        <w:spacing w:after="160" w:before="360"/>
      </w:pPr>
      <w:r>
        <w:rPr>
          <w:b/>
          <w:bCs/>
          <w:color w:val="1F3864"/>
          <w:sz w:val="30"/>
          <w:szCs w:val="30"/>
        </w:rPr>
        <w:t xml:space="preserve">2. Definitions</w:t>
      </w:r>
    </w:p>
    <w:p>
      <w:pPr>
        <w:spacing w:after="120" w:line="300"/>
      </w:pPr>
      <w:r>
        <w:t xml:space="preserve">In addition to the definitions in the MSA, the following terms have the following meanings: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Term</w:t>
            </w:r>
          </w:p>
        </w:tc>
        <w:tc>
          <w:tcPr>
            <w:tcW w:type="pct" w:w="74%"/>
            <w:shd w:fill="1F3864" w:color="auto" w:val="clear"/>
            <w:tcMar>
              <w:top w:type="dxa" w:w="80"/>
              <w:left w:type="dxa" w:w="120"/>
              <w:bottom w:type="dxa" w:w="80"/>
              <w:right w:type="dxa" w:w="120"/>
            </w:tcMar>
          </w:tcPr>
          <w:p>
            <w:pPr>
              <w:spacing w:after="40"/>
              <w:jc w:val="left"/>
            </w:pPr>
            <w:r>
              <w:rPr>
                <w:b/>
                <w:bCs/>
                <w:color w:val="FFFFFF"/>
                <w:sz w:val="20"/>
                <w:szCs w:val="20"/>
              </w:rPr>
              <w:t xml:space="preserve">Definition</w:t>
            </w:r>
          </w:p>
        </w:tc>
      </w:tr>
      <w:tr>
        <w:tc>
          <w:tcPr>
            <w:tcMar>
              <w:top w:type="dxa" w:w="80"/>
              <w:left w:type="dxa" w:w="120"/>
              <w:bottom w:type="dxa" w:w="80"/>
              <w:right w:type="dxa" w:w="120"/>
            </w:tcMar>
          </w:tcPr>
          <w:p>
            <w:pPr>
              <w:spacing w:after="40"/>
              <w:jc w:val="left"/>
            </w:pPr>
            <w:r>
              <w:rPr>
                <w:b/>
                <w:bCs/>
                <w:color w:val="1B1B1F"/>
                <w:sz w:val="20"/>
                <w:szCs w:val="20"/>
              </w:rPr>
              <w:t xml:space="preserve">AI Tool</w:t>
            </w:r>
          </w:p>
        </w:tc>
        <w:tc>
          <w:tcPr>
            <w:tcMar>
              <w:top w:type="dxa" w:w="80"/>
              <w:left w:type="dxa" w:w="120"/>
              <w:bottom w:type="dxa" w:w="80"/>
              <w:right w:type="dxa" w:w="120"/>
            </w:tcMar>
          </w:tcPr>
          <w:p>
            <w:pPr>
              <w:spacing w:after="40"/>
              <w:jc w:val="left"/>
            </w:pPr>
            <w:r>
              <w:rPr>
                <w:b w:val="false"/>
                <w:bCs w:val="false"/>
                <w:color w:val="1B1B1F"/>
                <w:sz w:val="20"/>
                <w:szCs w:val="20"/>
              </w:rPr>
              <w:t xml:space="preserve">Any software application or component that uses machine learning or generative models to assist in the production, review, transformation or analysis of code, including code-completion assistants, code-review assistants, code-generation systems, agentic developer tools and AI-enabled IDE extensions.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Approved AI Tool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An AI Tool listed in Schedule 1 (Approved AI Tools) as provided by the Customer for the engagement.</w:t>
            </w:r>
          </w:p>
        </w:tc>
      </w:tr>
      <w:tr>
        <w:tc>
          <w:tcPr>
            <w:tcMar>
              <w:top w:type="dxa" w:w="80"/>
              <w:left w:type="dxa" w:w="120"/>
              <w:bottom w:type="dxa" w:w="80"/>
              <w:right w:type="dxa" w:w="120"/>
            </w:tcMar>
          </w:tcPr>
          <w:p>
            <w:pPr>
              <w:spacing w:after="40"/>
              <w:jc w:val="left"/>
            </w:pPr>
            <w:r>
              <w:rPr>
                <w:b/>
                <w:bCs/>
                <w:color w:val="1B1B1F"/>
                <w:sz w:val="20"/>
                <w:szCs w:val="20"/>
              </w:rPr>
              <w:t xml:space="preserve">Vendor Personnel</w:t>
            </w:r>
          </w:p>
        </w:tc>
        <w:tc>
          <w:tcPr>
            <w:tcMar>
              <w:top w:type="dxa" w:w="80"/>
              <w:left w:type="dxa" w:w="120"/>
              <w:bottom w:type="dxa" w:w="80"/>
              <w:right w:type="dxa" w:w="120"/>
            </w:tcMar>
          </w:tcPr>
          <w:p>
            <w:pPr>
              <w:spacing w:after="40"/>
              <w:jc w:val="left"/>
            </w:pPr>
            <w:r>
              <w:rPr>
                <w:b w:val="false"/>
                <w:bCs w:val="false"/>
                <w:color w:val="1B1B1F"/>
                <w:sz w:val="20"/>
                <w:szCs w:val="20"/>
              </w:rPr>
              <w:t xml:space="preserve">Any individual employed, engaged or sub-contracted by the Vendor (or any subcontractor of the Vendor) who performs services under the MSA.</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Customer Code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Source code, configuration, documentation, scripts, infrastructure-as-code, prompts, system prompts, evaluation data, and any other artefact that is or becomes the Customer's intellectual property under the MSA, including all work product produced under any SOW.</w:t>
            </w:r>
          </w:p>
        </w:tc>
      </w:tr>
      <w:tr>
        <w:tc>
          <w:tcPr>
            <w:tcMar>
              <w:top w:type="dxa" w:w="80"/>
              <w:left w:type="dxa" w:w="120"/>
              <w:bottom w:type="dxa" w:w="80"/>
              <w:right w:type="dxa" w:w="120"/>
            </w:tcMar>
          </w:tcPr>
          <w:p>
            <w:pPr>
              <w:spacing w:after="40"/>
              <w:jc w:val="left"/>
            </w:pPr>
            <w:r>
              <w:rPr>
                <w:b/>
                <w:bCs/>
                <w:color w:val="1B1B1F"/>
                <w:sz w:val="20"/>
                <w:szCs w:val="20"/>
              </w:rPr>
              <w:t xml:space="preserve">Customer AI Policies</w:t>
            </w:r>
          </w:p>
        </w:tc>
        <w:tc>
          <w:tcPr>
            <w:tcMar>
              <w:top w:type="dxa" w:w="80"/>
              <w:left w:type="dxa" w:w="120"/>
              <w:bottom w:type="dxa" w:w="80"/>
              <w:right w:type="dxa" w:w="120"/>
            </w:tcMar>
          </w:tcPr>
          <w:p>
            <w:pPr>
              <w:spacing w:after="40"/>
              <w:jc w:val="left"/>
            </w:pPr>
            <w:r>
              <w:rPr>
                <w:b w:val="false"/>
                <w:bCs w:val="false"/>
                <w:color w:val="1B1B1F"/>
                <w:sz w:val="20"/>
                <w:szCs w:val="20"/>
              </w:rPr>
              <w:t xml:space="preserve">The Customer's AI Acceptable Use Policy, AI Governance Framework, AI Control Register and AI Monitoring &amp; Incident Playbook (each as amended from time to time and notified to the Vendor).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Approved Environment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The Customer-provisioned development environment for the engagement, including Microsoft Dev Box and/or Customer-managed laptops enrolled in the Customer's MDM, Customer-issued Entra ID identities, and the Customer-controlled GitHub Enterprise tenant.</w:t>
            </w:r>
          </w:p>
        </w:tc>
      </w:tr>
      <w:tr>
        <w:tc>
          <w:tcPr>
            <w:tcMar>
              <w:top w:type="dxa" w:w="80"/>
              <w:left w:type="dxa" w:w="120"/>
              <w:bottom w:type="dxa" w:w="80"/>
              <w:right w:type="dxa" w:w="120"/>
            </w:tcMar>
          </w:tcPr>
          <w:p>
            <w:pPr>
              <w:spacing w:after="40"/>
              <w:jc w:val="left"/>
            </w:pPr>
            <w:r>
              <w:rPr>
                <w:b/>
                <w:bCs/>
                <w:color w:val="1B1B1F"/>
                <w:sz w:val="20"/>
                <w:szCs w:val="20"/>
              </w:rPr>
              <w:t xml:space="preserve">Productivity Baseline</w:t>
            </w:r>
          </w:p>
        </w:tc>
        <w:tc>
          <w:tcPr>
            <w:tcMar>
              <w:top w:type="dxa" w:w="80"/>
              <w:left w:type="dxa" w:w="120"/>
              <w:bottom w:type="dxa" w:w="80"/>
              <w:right w:type="dxa" w:w="120"/>
            </w:tcMar>
          </w:tcPr>
          <w:p>
            <w:pPr>
              <w:spacing w:after="40"/>
              <w:jc w:val="left"/>
            </w:pPr>
            <w:r>
              <w:rPr>
                <w:b w:val="false"/>
                <w:bCs w:val="false"/>
                <w:color w:val="1B1B1F"/>
                <w:sz w:val="20"/>
                <w:szCs w:val="20"/>
              </w:rPr>
              <w:t xml:space="preserve">The agreed pre-AI productivity measurement for a Squad as set out in Schedule 3 (Productivity Measurement).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Squad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 defined team of Vendor Personnel performing services under a SOW, identified by name and engagement reference in Schedule 2 (Personnel Schedule).</w:t>
            </w:r>
          </w:p>
        </w:tc>
      </w:tr>
    </w:tbl>
    <w:p>
      <w:pPr>
        <w:pStyle w:val="Heading1"/>
        <w:spacing w:after="160" w:before="360"/>
      </w:pPr>
      <w:r>
        <w:rPr>
          <w:b/>
          <w:bCs/>
          <w:color w:val="1F3864"/>
          <w:sz w:val="30"/>
          <w:szCs w:val="30"/>
        </w:rPr>
        <w:t xml:space="preserve">3. Permitted Use of AI Tools</w:t>
      </w:r>
    </w:p>
    <w:p>
      <w:pPr>
        <w:spacing w:after="100" w:line="280"/>
        <w:ind w:left="360" w:hanging="360"/>
      </w:pPr>
      <w:r>
        <w:rPr>
          <w:b/>
          <w:bCs/>
        </w:rPr>
        <w:t xml:space="preserve">3.1  </w:t>
      </w:r>
      <w:r>
        <w:t xml:space="preserve">Vendor Personnel may use Approved AI Tools in the course of performing services under the MSA, subject to the conditions in this Addendum and the Customer AI Policies.</w:t>
      </w:r>
    </w:p>
    <w:p>
      <w:pPr>
        <w:spacing w:after="100" w:line="280"/>
        <w:ind w:left="360" w:hanging="360"/>
      </w:pPr>
      <w:r>
        <w:rPr>
          <w:b/>
          <w:bCs/>
        </w:rPr>
        <w:t xml:space="preserve">3.2  </w:t>
      </w:r>
      <w:r>
        <w:t xml:space="preserve">Approved AI Tools are listed in Schedule 1 and are provided by the Customer at the Customer's cost. Schedule 1 may be amended by the Customer on reasonable written notice; the Vendor will inform Vendor Personnel of changes.</w:t>
      </w:r>
    </w:p>
    <w:p>
      <w:pPr>
        <w:spacing w:after="100" w:line="280"/>
        <w:ind w:left="360" w:hanging="360"/>
      </w:pPr>
      <w:r>
        <w:rPr>
          <w:b/>
          <w:bCs/>
        </w:rPr>
        <w:t xml:space="preserve">3.3  </w:t>
      </w:r>
      <w:r>
        <w:t xml:space="preserve">The Vendor will not, and will procure that Vendor Personnel and any subcontractor will not:</w:t>
      </w:r>
    </w:p>
    <w:p>
      <w:pPr>
        <w:spacing w:after="100" w:line="280"/>
        <w:ind w:left="360" w:hanging="360"/>
      </w:pPr>
      <w:r>
        <w:rPr>
          <w:b/>
          <w:bCs/>
          <w:color w:val="1B1B1F"/>
        </w:rPr>
        <w:t xml:space="preserve">(a)  </w:t>
      </w:r>
      <w:r>
        <w:rPr>
          <w:color w:val="1B1B1F"/>
        </w:rPr>
        <w:t xml:space="preserve">use any AI Tool other than an Approved AI Tool in connection with Customer Code or any data of the Customer;</w:t>
      </w:r>
    </w:p>
    <w:p>
      <w:pPr>
        <w:spacing w:after="100" w:line="280"/>
        <w:ind w:left="360" w:hanging="360"/>
      </w:pPr>
      <w:r>
        <w:rPr>
          <w:b/>
          <w:bCs/>
          <w:color w:val="1B1B1F"/>
        </w:rPr>
        <w:t xml:space="preserve">(b)  </w:t>
      </w:r>
      <w:r>
        <w:rPr>
          <w:color w:val="1B1B1F"/>
        </w:rPr>
        <w:t xml:space="preserve">use any personal account, free-tier subscription, or non-Customer-issued credential to access an AI Tool when working on Customer Code;</w:t>
      </w:r>
    </w:p>
    <w:p>
      <w:pPr>
        <w:spacing w:after="100" w:line="280"/>
        <w:ind w:left="360" w:hanging="360"/>
      </w:pPr>
      <w:r>
        <w:rPr>
          <w:b/>
          <w:bCs/>
          <w:color w:val="1B1B1F"/>
        </w:rPr>
        <w:t xml:space="preserve">(c)  </w:t>
      </w:r>
      <w:r>
        <w:rPr>
          <w:color w:val="1B1B1F"/>
        </w:rPr>
        <w:t xml:space="preserve">transmit, paste, upload or otherwise disclose any Customer Code, Customer data, customer personal information, secrets, credentials, configuration or system prompts to any AI Tool or service that is not an Approved AI Tool;</w:t>
      </w:r>
    </w:p>
    <w:p>
      <w:pPr>
        <w:spacing w:after="100" w:line="280"/>
        <w:ind w:left="360" w:hanging="360"/>
      </w:pPr>
      <w:r>
        <w:rPr>
          <w:b/>
          <w:bCs/>
          <w:color w:val="1B1B1F"/>
        </w:rPr>
        <w:t xml:space="preserve">(d)  </w:t>
      </w:r>
      <w:r>
        <w:rPr>
          <w:color w:val="1B1B1F"/>
        </w:rPr>
        <w:t xml:space="preserve">use Customer Code on any device or in any environment that is not the Approved Environment;</w:t>
      </w:r>
    </w:p>
    <w:p>
      <w:pPr>
        <w:spacing w:after="100" w:line="280"/>
        <w:ind w:left="360" w:hanging="360"/>
      </w:pPr>
      <w:r>
        <w:rPr>
          <w:b/>
          <w:bCs/>
          <w:color w:val="1B1B1F"/>
        </w:rPr>
        <w:t xml:space="preserve">(e)  </w:t>
      </w:r>
      <w:r>
        <w:rPr>
          <w:color w:val="1B1B1F"/>
        </w:rPr>
        <w:t xml:space="preserve">disable, evade or circumvent any control on AI Tool usage operated by the Customer (including content-safety filters, secret scanning, push protection, code-review requirements, or audit logging);</w:t>
      </w:r>
    </w:p>
    <w:p>
      <w:pPr>
        <w:spacing w:after="100" w:line="280"/>
        <w:ind w:left="360" w:hanging="360"/>
      </w:pPr>
      <w:r>
        <w:rPr>
          <w:b/>
          <w:bCs/>
          <w:color w:val="1B1B1F"/>
        </w:rPr>
        <w:t xml:space="preserve">(f)  </w:t>
      </w:r>
      <w:r>
        <w:rPr>
          <w:color w:val="1B1B1F"/>
        </w:rPr>
        <w:t xml:space="preserve">use AI Tools to make material decisions about identifiable individuals (including but not limited to credit, fraud or HR decisions) outside of any AI use case formally registered and approved through the Customer's AI Council intake process.</w:t>
      </w:r>
    </w:p>
    <w:p>
      <w:pPr>
        <w:pBdr>
          <w:left w:val="single" w:color="E2A72E" w:sz="16" w:space="8"/>
        </w:pBdr>
        <w:shd w:fill="F3F6FC" w:color="auto" w:val="clear"/>
        <w:spacing w:after="100" w:before="60"/>
      </w:pPr>
      <w:r>
        <w:rPr>
          <w:b/>
          <w:bCs/>
          <w:color w:val="E2A72E"/>
          <w:sz w:val="18"/>
          <w:szCs w:val="18"/>
        </w:rPr>
        <w:t xml:space="preserve">DRAFTER'S NOTE — </w:t>
      </w:r>
      <w:r>
        <w:rPr>
          <w:i/>
          <w:iCs/>
          <w:sz w:val="18"/>
          <w:szCs w:val="18"/>
        </w:rPr>
        <w:t xml:space="preserve">3.3(a)–(f) is the operative restriction. Anything that is not technical or commercial — i.e., the legal heart of this Addendum — is here. Watch for vendor pushback to soften this clause; resist.</w:t>
      </w:r>
    </w:p>
    <w:p>
      <w:pPr>
        <w:pStyle w:val="Heading1"/>
        <w:spacing w:after="160" w:before="360"/>
      </w:pPr>
      <w:r>
        <w:rPr>
          <w:b/>
          <w:bCs/>
          <w:color w:val="1F3864"/>
          <w:sz w:val="30"/>
          <w:szCs w:val="30"/>
        </w:rPr>
        <w:t xml:space="preserve">4. Acceptable Use Policy Attestation</w:t>
      </w:r>
    </w:p>
    <w:p>
      <w:pPr>
        <w:spacing w:after="100" w:line="280"/>
        <w:ind w:left="360" w:hanging="360"/>
      </w:pPr>
      <w:r>
        <w:rPr>
          <w:b/>
          <w:bCs/>
        </w:rPr>
        <w:t xml:space="preserve">4.1  </w:t>
      </w:r>
      <w:r>
        <w:t xml:space="preserve">Each Vendor Personnel placed under any SOW will, before being granted access to Approved AI Tools, complete the Customer's AI Acceptable Use Policy attestation in the form provided by the Customer.</w:t>
      </w:r>
    </w:p>
    <w:p>
      <w:pPr>
        <w:spacing w:after="100" w:line="280"/>
        <w:ind w:left="360" w:hanging="360"/>
      </w:pPr>
      <w:r>
        <w:rPr>
          <w:b/>
          <w:bCs/>
        </w:rPr>
        <w:t xml:space="preserve">4.2  </w:t>
      </w:r>
      <w:r>
        <w:t xml:space="preserve">The Vendor will maintain a register of Vendor Personnel attestations and provide it to the Customer monthly, and on request within five business days.</w:t>
      </w:r>
    </w:p>
    <w:p>
      <w:pPr>
        <w:spacing w:after="100" w:line="280"/>
        <w:ind w:left="360" w:hanging="360"/>
      </w:pPr>
      <w:r>
        <w:rPr>
          <w:b/>
          <w:bCs/>
        </w:rPr>
        <w:t xml:space="preserve">4.3  </w:t>
      </w:r>
      <w:r>
        <w:t xml:space="preserve">The Customer may withdraw access to Approved AI Tools from any Vendor Personnel at any time without cause, including for failure to attest, breach of the Acceptable Use Policy, or completion of the engagement.</w:t>
      </w:r>
    </w:p>
    <w:p>
      <w:pPr>
        <w:pStyle w:val="Heading1"/>
        <w:spacing w:after="160" w:before="360"/>
      </w:pPr>
      <w:r>
        <w:rPr>
          <w:b/>
          <w:bCs/>
          <w:color w:val="1F3864"/>
          <w:sz w:val="30"/>
          <w:szCs w:val="30"/>
        </w:rPr>
        <w:t xml:space="preserve">5. Approved Environment and Identity</w:t>
      </w:r>
    </w:p>
    <w:p>
      <w:pPr>
        <w:spacing w:after="100" w:line="280"/>
        <w:ind w:left="360" w:hanging="360"/>
      </w:pPr>
      <w:r>
        <w:rPr>
          <w:b/>
          <w:bCs/>
        </w:rPr>
        <w:t xml:space="preserve">5.1  </w:t>
      </w:r>
      <w:r>
        <w:t xml:space="preserve">Vendor Personnel will perform all services on Customer Code within the Approved Environment.</w:t>
      </w:r>
    </w:p>
    <w:p>
      <w:pPr>
        <w:spacing w:after="100" w:line="280"/>
        <w:ind w:left="360" w:hanging="360"/>
      </w:pPr>
      <w:r>
        <w:rPr>
          <w:b/>
          <w:bCs/>
        </w:rPr>
        <w:t xml:space="preserve">5.2  </w:t>
      </w:r>
      <w:r>
        <w:t xml:space="preserve">Vendor Personnel will be issued Customer-controlled Entra ID accounts. Multi-factor authentication and conditional access policies of the Customer apply at all times.</w:t>
      </w:r>
    </w:p>
    <w:p>
      <w:pPr>
        <w:spacing w:after="100" w:line="280"/>
        <w:ind w:left="360" w:hanging="360"/>
      </w:pPr>
      <w:r>
        <w:rPr>
          <w:b/>
          <w:bCs/>
        </w:rPr>
        <w:t xml:space="preserve">5.3  </w:t>
      </w:r>
      <w:r>
        <w:t xml:space="preserve">The Vendor will provide a daily Joiner-Mover-Leaver feed (or such other automated mechanism as agreed in writing) to the Customer covering all Vendor Personnel under the engagement. Notification of a Vendor Personnel exit will be no later than 24 hours after the exit takes effect.</w:t>
      </w:r>
    </w:p>
    <w:p>
      <w:pPr>
        <w:spacing w:after="100" w:line="280"/>
        <w:ind w:left="360" w:hanging="360"/>
      </w:pPr>
      <w:r>
        <w:rPr>
          <w:b/>
          <w:bCs/>
        </w:rPr>
        <w:t xml:space="preserve">5.4  </w:t>
      </w:r>
      <w:r>
        <w:t xml:space="preserve">The Vendor will not, and will procure that Vendor Personnel will not, copy, mirror, sync or transfer Customer Code to any device, repository, storage system or environment outside of the Approved Environment, except as expressly permitted in writing by the Customer.</w:t>
      </w:r>
    </w:p>
    <w:p>
      <w:pPr>
        <w:spacing w:after="100" w:line="280"/>
        <w:ind w:left="360" w:hanging="360"/>
      </w:pPr>
      <w:r>
        <w:rPr>
          <w:b/>
          <w:bCs/>
        </w:rPr>
        <w:t xml:space="preserve">5.5  </w:t>
      </w:r>
      <w:r>
        <w:t xml:space="preserve">Local copies of Customer Code on Customer-managed laptops are permitted only where Microsoft Dev Box is not viable for the engagement, and only with full-disk encryption, MDM enrolment, and the controls described in Schedule 4 (Device Standards).</w:t>
      </w:r>
    </w:p>
    <w:p>
      <w:pPr>
        <w:pStyle w:val="Heading1"/>
        <w:spacing w:after="160" w:before="360"/>
      </w:pPr>
      <w:r>
        <w:rPr>
          <w:b/>
          <w:bCs/>
          <w:color w:val="1F3864"/>
          <w:sz w:val="30"/>
          <w:szCs w:val="30"/>
        </w:rPr>
        <w:t xml:space="preserve">6. Code Ownership and Intellectual Property</w:t>
      </w:r>
    </w:p>
    <w:p>
      <w:pPr>
        <w:spacing w:after="100" w:line="280"/>
        <w:ind w:left="360" w:hanging="360"/>
      </w:pPr>
      <w:r>
        <w:rPr>
          <w:b/>
          <w:bCs/>
        </w:rPr>
        <w:t xml:space="preserve">6.1  </w:t>
      </w:r>
      <w:r>
        <w:t xml:space="preserve">All Customer Code, including any code, configuration, prompts, system prompts, test data, documentation and other artefacts produced by Vendor Personnel using Approved AI Tools, is the exclusive property of the Customer, with effect from creation.</w:t>
      </w:r>
    </w:p>
    <w:p>
      <w:pPr>
        <w:spacing w:after="100" w:line="280"/>
        <w:ind w:left="360" w:hanging="360"/>
      </w:pPr>
      <w:r>
        <w:rPr>
          <w:b/>
          <w:bCs/>
        </w:rPr>
        <w:t xml:space="preserve">6.2  </w:t>
      </w:r>
      <w:r>
        <w:t xml:space="preserve">The Vendor warrants that, to its knowledge having made reasonable inquiry: (a) outputs of Approved AI Tools accepted by Vendor Personnel into Customer Code do not knowingly incorporate material that infringes any third-party intellectual property right; (b) the copyright filter / public-code matching feature of the Approved AI Tools is enabled in the Approved Environment; and (c) Vendor Personnel are instructed to treat copyright-filter or public-code-match warnings from any Approved AI Tool as a stop signal and to either re-prompt or write the relevant code without AI assistance.</w:t>
      </w:r>
    </w:p>
    <w:p>
      <w:pPr>
        <w:spacing w:after="100" w:line="280"/>
        <w:ind w:left="360" w:hanging="360"/>
      </w:pPr>
      <w:r>
        <w:rPr>
          <w:b/>
          <w:bCs/>
        </w:rPr>
        <w:t xml:space="preserve">6.3  </w:t>
      </w:r>
      <w:r>
        <w:t xml:space="preserve">The Vendor will indemnify and hold harmless the Customer against any third-party claim alleging that Customer Code produced by Vendor Personnel using AI Tools infringes any third-party intellectual property right, where such claim arises from Vendor's failure to comply with clauses 6.2 or 3.3, or from a Vendor Personnel's wilful or reckless disregard of the Customer AI Policies.</w:t>
      </w:r>
    </w:p>
    <w:p>
      <w:pPr>
        <w:pBdr>
          <w:left w:val="single" w:color="E2A72E" w:sz="16" w:space="8"/>
        </w:pBdr>
        <w:shd w:fill="F3F6FC" w:color="auto" w:val="clear"/>
        <w:spacing w:after="100" w:before="60"/>
      </w:pPr>
      <w:r>
        <w:rPr>
          <w:b/>
          <w:bCs/>
          <w:color w:val="E2A72E"/>
          <w:sz w:val="18"/>
          <w:szCs w:val="18"/>
        </w:rPr>
        <w:t xml:space="preserve">DRAFTER'S NOTE — </w:t>
      </w:r>
      <w:r>
        <w:rPr>
          <w:i/>
          <w:iCs/>
          <w:sz w:val="18"/>
          <w:szCs w:val="18"/>
        </w:rPr>
        <w:t xml:space="preserve">6.3 is bounded by the vendor's compliance and the individual's behaviour. Customer indemnification flowing from the AI Tool provider (e.g., GitHub Copilot Enterprise IP Indemnification Commitment, Microsoft Customer Copyright Commitment) is preserved separately and is not displaced by this clause.</w:t>
      </w:r>
    </w:p>
    <w:p>
      <w:pPr>
        <w:spacing w:after="100" w:line="280"/>
        <w:ind w:left="360" w:hanging="360"/>
      </w:pPr>
      <w:r>
        <w:rPr>
          <w:b/>
          <w:bCs/>
        </w:rPr>
        <w:t xml:space="preserve">6.4  </w:t>
      </w:r>
      <w:r>
        <w:t xml:space="preserve">Nothing in this Addendum operates to transfer to the Customer any intellectual property in the foundation models or the AI Tool platforms themselves; only the outputs accepted into Customer Code are Customer property.</w:t>
      </w:r>
    </w:p>
    <w:p>
      <w:pPr>
        <w:pStyle w:val="Heading1"/>
        <w:spacing w:after="160" w:before="360"/>
      </w:pPr>
      <w:r>
        <w:rPr>
          <w:b/>
          <w:bCs/>
          <w:color w:val="1F3864"/>
          <w:sz w:val="30"/>
          <w:szCs w:val="30"/>
        </w:rPr>
        <w:t xml:space="preserve">7. Security and Data Handling</w:t>
      </w:r>
    </w:p>
    <w:p>
      <w:pPr>
        <w:spacing w:after="100" w:line="280"/>
        <w:ind w:left="360" w:hanging="360"/>
      </w:pPr>
      <w:r>
        <w:rPr>
          <w:b/>
          <w:bCs/>
        </w:rPr>
        <w:t xml:space="preserve">7.1  </w:t>
      </w:r>
      <w:r>
        <w:t xml:space="preserve">The Vendor will, and will procure that Vendor Personnel will, comply with the Customer AI Policies and the security requirements set out in Schedule 4.</w:t>
      </w:r>
    </w:p>
    <w:p>
      <w:pPr>
        <w:spacing w:after="100" w:line="280"/>
        <w:ind w:left="360" w:hanging="360"/>
      </w:pPr>
      <w:r>
        <w:rPr>
          <w:b/>
          <w:bCs/>
        </w:rPr>
        <w:t xml:space="preserve">7.2  </w:t>
      </w:r>
      <w:r>
        <w:t xml:space="preserve">The Vendor will not, and will procure that Vendor Personnel will not, use Customer Code, Customer data or Customer secrets in any AI Tool prompt, retrieval source, fine-tuning dataset, evaluation dataset or training dataset other than as expressly authorised in writing by the Customer for a specific purpose.</w:t>
      </w:r>
    </w:p>
    <w:p>
      <w:pPr>
        <w:spacing w:after="100" w:line="280"/>
        <w:ind w:left="360" w:hanging="360"/>
      </w:pPr>
      <w:r>
        <w:rPr>
          <w:b/>
          <w:bCs/>
        </w:rPr>
        <w:t xml:space="preserve">7.3  </w:t>
      </w:r>
      <w:r>
        <w:t xml:space="preserve">The Vendor will notify the Customer of any actual or suspected security incident or AI-related incident affecting Customer Code or Customer data within 24 hours of becoming aware of it, in accordance with Schedule 5 (Incident Notification).</w:t>
      </w:r>
    </w:p>
    <w:p>
      <w:pPr>
        <w:spacing w:after="100" w:line="280"/>
        <w:ind w:left="360" w:hanging="360"/>
      </w:pPr>
      <w:r>
        <w:rPr>
          <w:b/>
          <w:bCs/>
        </w:rPr>
        <w:t xml:space="preserve">7.4  </w:t>
      </w:r>
      <w:r>
        <w:t xml:space="preserve">The Vendor agrees that the Customer may inspect telemetry from Approved AI Tools (acceptance rates, suggestion sources, content-safety triggers, secret-scan events) in respect of Vendor Personnel for security, audit and productivity-measurement purposes.</w:t>
      </w:r>
    </w:p>
    <w:p>
      <w:pPr>
        <w:pStyle w:val="Heading1"/>
        <w:spacing w:after="160" w:before="360"/>
      </w:pPr>
      <w:r>
        <w:rPr>
          <w:b/>
          <w:bCs/>
          <w:color w:val="1F3864"/>
          <w:sz w:val="30"/>
          <w:szCs w:val="30"/>
        </w:rPr>
        <w:t xml:space="preserve">8. Quality and Code Review</w:t>
      </w:r>
    </w:p>
    <w:p>
      <w:pPr>
        <w:spacing w:after="100" w:line="280"/>
        <w:ind w:left="360" w:hanging="360"/>
      </w:pPr>
      <w:r>
        <w:rPr>
          <w:b/>
          <w:bCs/>
        </w:rPr>
        <w:t xml:space="preserve">8.1  </w:t>
      </w:r>
      <w:r>
        <w:t xml:space="preserve">Vendor Personnel will follow the Customer's standard code-review process, including the use of GitHub Advanced Security checks and the requirement for human reviewer approval before merge to protected branches.</w:t>
      </w:r>
    </w:p>
    <w:p>
      <w:pPr>
        <w:spacing w:after="100" w:line="280"/>
        <w:ind w:left="360" w:hanging="360"/>
      </w:pPr>
      <w:r>
        <w:rPr>
          <w:b/>
          <w:bCs/>
        </w:rPr>
        <w:t xml:space="preserve">8.2  </w:t>
      </w:r>
      <w:r>
        <w:t xml:space="preserve">Use of an AI Tool in the production of Customer Code does not relax any quality, testing, security or review obligation in the MSA, any SOW or this Addendum.</w:t>
      </w:r>
    </w:p>
    <w:p>
      <w:pPr>
        <w:spacing w:after="100" w:line="280"/>
        <w:ind w:left="360" w:hanging="360"/>
      </w:pPr>
      <w:r>
        <w:rPr>
          <w:b/>
          <w:bCs/>
        </w:rPr>
        <w:t xml:space="preserve">8.3  </w:t>
      </w:r>
      <w:r>
        <w:t xml:space="preserve">The Vendor warrants that any code committed by Vendor Personnel to Customer Code repositories has been reviewed by the relevant Vendor Personnel for correctness, security and fitness for purpose, regardless of whether any portion of that code was produced by an AI Tool.</w:t>
      </w:r>
    </w:p>
    <w:p>
      <w:pPr>
        <w:spacing w:after="100" w:line="280"/>
        <w:ind w:left="360" w:hanging="360"/>
      </w:pPr>
      <w:r>
        <w:rPr>
          <w:b/>
          <w:bCs/>
        </w:rPr>
        <w:t xml:space="preserve">8.4  </w:t>
      </w:r>
      <w:r>
        <w:t xml:space="preserve">The Customer may, at its discretion, require additional review of Customer Code in security-critical paths (including authentication, authorisation, cryptography, payment routing, financial-crime processing) by the Customer's own security and engineering personnel; the Vendor will cooperate with such review at no additional cost.</w:t>
      </w:r>
    </w:p>
    <w:p>
      <w:pPr>
        <w:pStyle w:val="Heading1"/>
        <w:spacing w:after="160" w:before="360"/>
      </w:pPr>
      <w:r>
        <w:rPr>
          <w:b/>
          <w:bCs/>
          <w:color w:val="1F3864"/>
          <w:sz w:val="30"/>
          <w:szCs w:val="30"/>
        </w:rPr>
        <w:t xml:space="preserve">9. Productivity Expectations and Value Sharing</w:t>
      </w:r>
    </w:p>
    <w:p>
      <w:pPr>
        <w:spacing w:after="100" w:line="280"/>
        <w:ind w:left="360" w:hanging="360"/>
      </w:pPr>
      <w:r>
        <w:rPr>
          <w:b/>
          <w:bCs/>
        </w:rPr>
        <w:t xml:space="preserve">9.1  </w:t>
      </w:r>
      <w:r>
        <w:t xml:space="preserve">The parties acknowledge that the use of Approved AI Tools by Vendor Personnel is expected to yield measurable productivity improvements relative to the Productivity Baseline, as set out in Schedule 3.</w:t>
      </w:r>
    </w:p>
    <w:p>
      <w:pPr>
        <w:spacing w:after="100" w:line="280"/>
        <w:ind w:left="360" w:hanging="360"/>
      </w:pPr>
      <w:r>
        <w:rPr>
          <w:b/>
          <w:bCs/>
        </w:rPr>
        <w:t xml:space="preserve">9.2  </w:t>
      </w:r>
      <w:r>
        <w:t xml:space="preserve">Productivity is measured at Squad level on the metrics and cadence in Schedule 3. The Customer is responsible for instrumenting and reporting; the Vendor is responsible for cooperating with measurement and for not impeding accurate baselines.</w:t>
      </w:r>
    </w:p>
    <w:p>
      <w:pPr>
        <w:spacing w:after="100" w:line="280"/>
        <w:ind w:left="360" w:hanging="360"/>
      </w:pPr>
      <w:r>
        <w:rPr>
          <w:b/>
          <w:bCs/>
        </w:rPr>
        <w:t xml:space="preserve">9.3  </w:t>
      </w:r>
      <w:r>
        <w:t xml:space="preserve">For Squads engaged on a time-and-materials basis, the parties acknowledge that productivity improvements will result in fewer billable hours per delivered scope. The Vendor will not increase its hourly rate, expand task scope, or otherwise act to offset the productivity gain unless agreed in writing.</w:t>
      </w:r>
    </w:p>
    <w:p>
      <w:pPr>
        <w:spacing w:after="100" w:line="280"/>
        <w:ind w:left="360" w:hanging="360"/>
      </w:pPr>
      <w:r>
        <w:rPr>
          <w:b/>
          <w:bCs/>
        </w:rPr>
        <w:t xml:space="preserve">9.4  </w:t>
      </w:r>
      <w:r>
        <w:t xml:space="preserve">For Squads engaged on a capacity / squad-as-a-service basis, the parties agree that the Squad's expected delivery output (measured per Schedule 3) increases by [TARGET PERCENTAGE — typically 10–15%] over the Productivity Baseline by month [TARGET MONTH — typically month 6 of the engagement]. Failure to meet the increased output expectation, where attributable to the Vendor and not to changed Customer scope, is a service-credit event under the SOW.</w:t>
      </w:r>
    </w:p>
    <w:p>
      <w:pPr>
        <w:spacing w:after="100" w:line="280"/>
        <w:ind w:left="360" w:hanging="360"/>
      </w:pPr>
      <w:r>
        <w:rPr>
          <w:b/>
          <w:bCs/>
        </w:rPr>
        <w:t xml:space="preserve">9.5  </w:t>
      </w:r>
      <w:r>
        <w:t xml:space="preserve">Where the engagement includes any fixed-scope work and a sustained productivity uplift of greater than 15% above the Productivity Baseline is measured for three consecutive months, either party may, on written notice, request a rebase conversation. The default rebase position is a 50/50 sharing of measured savings on subsequent fixed-scope work, with the actual mechanic agreed in good faith.</w:t>
      </w:r>
    </w:p>
    <w:p>
      <w:pPr>
        <w:spacing w:after="100" w:line="280"/>
        <w:ind w:left="360" w:hanging="360"/>
      </w:pPr>
      <w:r>
        <w:rPr>
          <w:b/>
          <w:bCs/>
        </w:rPr>
        <w:t xml:space="preserve">9.6  </w:t>
      </w:r>
      <w:r>
        <w:t xml:space="preserve">Productivity reporting (Schedule 3) is shared with the Vendor monthly. Disputes over measurement are escalated under the MSA's standard dispute-resolution process.</w:t>
      </w:r>
    </w:p>
    <w:p>
      <w:pPr>
        <w:pBdr>
          <w:left w:val="single" w:color="E2A72E" w:sz="16" w:space="8"/>
        </w:pBdr>
        <w:shd w:fill="F3F6FC" w:color="auto" w:val="clear"/>
        <w:spacing w:after="100" w:before="60"/>
      </w:pPr>
      <w:r>
        <w:rPr>
          <w:b/>
          <w:bCs/>
          <w:color w:val="E2A72E"/>
          <w:sz w:val="18"/>
          <w:szCs w:val="18"/>
        </w:rPr>
        <w:t xml:space="preserve">DRAFTER'S NOTE — </w:t>
      </w:r>
      <w:r>
        <w:rPr>
          <w:i/>
          <w:iCs/>
          <w:sz w:val="18"/>
          <w:szCs w:val="18"/>
        </w:rPr>
        <w:t xml:space="preserve">9.3–9.5 is the commercial heart. Vendor account management will pay close attention. The mechanic above is reasonable for staff-aug; adjust the targets and percentages per engagement. Avoid gain-share schemes that incentivise over-claiming productivity uplift.</w:t>
      </w:r>
    </w:p>
    <w:p>
      <w:pPr>
        <w:pStyle w:val="Heading1"/>
        <w:spacing w:after="160" w:before="360"/>
      </w:pPr>
      <w:r>
        <w:rPr>
          <w:b/>
          <w:bCs/>
          <w:color w:val="1F3864"/>
          <w:sz w:val="30"/>
          <w:szCs w:val="30"/>
        </w:rPr>
        <w:t xml:space="preserve">10. Audit Rights</w:t>
      </w:r>
    </w:p>
    <w:p>
      <w:pPr>
        <w:spacing w:after="100" w:line="280"/>
        <w:ind w:left="360" w:hanging="360"/>
      </w:pPr>
      <w:r>
        <w:rPr>
          <w:b/>
          <w:bCs/>
        </w:rPr>
        <w:t xml:space="preserve">10.1  </w:t>
      </w:r>
      <w:r>
        <w:t xml:space="preserve">The Customer may, on no less than ten business days' written notice, audit the Vendor's compliance with this Addendum, including: (a) the maintenance of the AUP attestation register; (b) the daily JML feed and the accuracy of the personnel list; (c) the absence of unapproved AI Tools used in connection with Customer Code; (d) the operation of the copyright filter / public-code matching on Approved AI Tools.</w:t>
      </w:r>
    </w:p>
    <w:p>
      <w:pPr>
        <w:spacing w:after="100" w:line="280"/>
        <w:ind w:left="360" w:hanging="360"/>
      </w:pPr>
      <w:r>
        <w:rPr>
          <w:b/>
          <w:bCs/>
        </w:rPr>
        <w:t xml:space="preserve">10.2  </w:t>
      </w:r>
      <w:r>
        <w:t xml:space="preserve">Audits are at the Customer's cost, except where the audit identifies a material breach, in which case reasonable audit costs are recoverable.</w:t>
      </w:r>
    </w:p>
    <w:p>
      <w:pPr>
        <w:spacing w:after="100" w:line="280"/>
        <w:ind w:left="360" w:hanging="360"/>
      </w:pPr>
      <w:r>
        <w:rPr>
          <w:b/>
          <w:bCs/>
        </w:rPr>
        <w:t xml:space="preserve">10.3  </w:t>
      </w:r>
      <w:r>
        <w:t xml:space="preserve">The Customer may exercise audit rights remotely, on-site at Vendor delivery centres, or via independent third-party auditor, subject to confidentiality undertakings.</w:t>
      </w:r>
    </w:p>
    <w:p>
      <w:pPr>
        <w:spacing w:after="100" w:line="280"/>
        <w:ind w:left="360" w:hanging="360"/>
      </w:pPr>
      <w:r>
        <w:rPr>
          <w:b/>
          <w:bCs/>
        </w:rPr>
        <w:t xml:space="preserve">10.4  </w:t>
      </w:r>
      <w:r>
        <w:t xml:space="preserve">The Vendor will retain records of AUP attestations, personnel JML, and AI Tool entitlements for a period of [SEVEN YEARS] following the end of the engagement, or longer where required by applicable law.</w:t>
      </w:r>
    </w:p>
    <w:p>
      <w:pPr>
        <w:pStyle w:val="Heading1"/>
        <w:spacing w:after="160" w:before="360"/>
      </w:pPr>
      <w:r>
        <w:rPr>
          <w:b/>
          <w:bCs/>
          <w:color w:val="1F3864"/>
          <w:sz w:val="30"/>
          <w:szCs w:val="30"/>
        </w:rPr>
        <w:t xml:space="preserve">11. Subcontractors and Flow-Down</w:t>
      </w:r>
    </w:p>
    <w:p>
      <w:pPr>
        <w:spacing w:after="100" w:line="280"/>
        <w:ind w:left="360" w:hanging="360"/>
      </w:pPr>
      <w:r>
        <w:rPr>
          <w:b/>
          <w:bCs/>
        </w:rPr>
        <w:t xml:space="preserve">11.1  </w:t>
      </w:r>
      <w:r>
        <w:t xml:space="preserve">The Vendor may use subcontractors only with the Customer's prior written consent, which will not be unreasonably withheld.</w:t>
      </w:r>
    </w:p>
    <w:p>
      <w:pPr>
        <w:spacing w:after="100" w:line="280"/>
        <w:ind w:left="360" w:hanging="360"/>
      </w:pPr>
      <w:r>
        <w:rPr>
          <w:b/>
          <w:bCs/>
        </w:rPr>
        <w:t xml:space="preserve">11.2  </w:t>
      </w:r>
      <w:r>
        <w:t xml:space="preserve">The Vendor will procure that any subcontractor whose personnel perform services on Customer Code is bound by terms that are no less protective of the Customer than those in this Addendum, including the AUP attestation and JML obligations.</w:t>
      </w:r>
    </w:p>
    <w:p>
      <w:pPr>
        <w:spacing w:after="100" w:line="280"/>
        <w:ind w:left="360" w:hanging="360"/>
      </w:pPr>
      <w:r>
        <w:rPr>
          <w:b/>
          <w:bCs/>
        </w:rPr>
        <w:t xml:space="preserve">11.3  </w:t>
      </w:r>
      <w:r>
        <w:t xml:space="preserve">The Vendor remains liable to the Customer for the acts and omissions of its subcontractors as if they were its own.</w:t>
      </w:r>
    </w:p>
    <w:p>
      <w:pPr>
        <w:spacing w:after="100" w:line="280"/>
        <w:ind w:left="360" w:hanging="360"/>
      </w:pPr>
      <w:r>
        <w:rPr>
          <w:b/>
          <w:bCs/>
        </w:rPr>
        <w:t xml:space="preserve">11.4  </w:t>
      </w:r>
      <w:r>
        <w:t xml:space="preserve">Subcontractor personnel are listed in the same Personnel Schedule (Schedule 2) as Vendor's own personnel; the Customer may require named individual attestation from subcontractor personnel before granting access to Approved AI Tools.</w:t>
      </w:r>
    </w:p>
    <w:p>
      <w:pPr>
        <w:pStyle w:val="Heading1"/>
        <w:spacing w:after="160" w:before="360"/>
      </w:pPr>
      <w:r>
        <w:rPr>
          <w:b/>
          <w:bCs/>
          <w:color w:val="1F3864"/>
          <w:sz w:val="30"/>
          <w:szCs w:val="30"/>
        </w:rPr>
        <w:t xml:space="preserve">12. AI Incident Cooperation</w:t>
      </w:r>
    </w:p>
    <w:p>
      <w:pPr>
        <w:spacing w:after="100" w:line="280"/>
        <w:ind w:left="360" w:hanging="360"/>
      </w:pPr>
      <w:r>
        <w:rPr>
          <w:b/>
          <w:bCs/>
        </w:rPr>
        <w:t xml:space="preserve">12.1  </w:t>
      </w:r>
      <w:r>
        <w:t xml:space="preserve">The Vendor will cooperate fully and promptly with the Customer's AI Monitoring &amp; Incident Playbook in respect of any incident involving Vendor Personnel, including by: (a) providing relevant information within the SLAs in Schedule 5; (b) preserving evidence; (c) participating in post-incident review; (d) implementing agreed remedial actions.</w:t>
      </w:r>
    </w:p>
    <w:p>
      <w:pPr>
        <w:spacing w:after="100" w:line="280"/>
        <w:ind w:left="360" w:hanging="360"/>
      </w:pPr>
      <w:r>
        <w:rPr>
          <w:b/>
          <w:bCs/>
        </w:rPr>
        <w:t xml:space="preserve">12.2  </w:t>
      </w:r>
      <w:r>
        <w:t xml:space="preserve">Where an incident is attributable to a wilful or reckless act of Vendor Personnel, the Vendor will promptly remove the relevant individual from the engagement on the Customer's request.</w:t>
      </w:r>
    </w:p>
    <w:p>
      <w:pPr>
        <w:spacing w:after="100" w:line="280"/>
        <w:ind w:left="360" w:hanging="360"/>
      </w:pPr>
      <w:r>
        <w:rPr>
          <w:b/>
          <w:bCs/>
        </w:rPr>
        <w:t xml:space="preserve">12.3  </w:t>
      </w:r>
      <w:r>
        <w:t xml:space="preserve">Incident handling is without prejudice to the Customer's rights under the MSA and this Addendum, including the right to suspend, terminate or claim under any indemnity.</w:t>
      </w:r>
    </w:p>
    <w:p>
      <w:pPr>
        <w:pStyle w:val="Heading1"/>
        <w:spacing w:after="160" w:before="360"/>
      </w:pPr>
      <w:r>
        <w:rPr>
          <w:b/>
          <w:bCs/>
          <w:color w:val="1F3864"/>
          <w:sz w:val="30"/>
          <w:szCs w:val="30"/>
        </w:rPr>
        <w:t xml:space="preserve">13. Changes to Customer AI Policies and Approved Tools</w:t>
      </w:r>
    </w:p>
    <w:p>
      <w:pPr>
        <w:spacing w:after="100" w:line="280"/>
        <w:ind w:left="360" w:hanging="360"/>
      </w:pPr>
      <w:r>
        <w:rPr>
          <w:b/>
          <w:bCs/>
        </w:rPr>
        <w:t xml:space="preserve">13.1  </w:t>
      </w:r>
      <w:r>
        <w:t xml:space="preserve">The Customer may amend the Customer AI Policies and Schedule 1 (Approved AI Tools) on no less than [TWENTY] business days' written notice.</w:t>
      </w:r>
    </w:p>
    <w:p>
      <w:pPr>
        <w:spacing w:after="100" w:line="280"/>
        <w:ind w:left="360" w:hanging="360"/>
      </w:pPr>
      <w:r>
        <w:rPr>
          <w:b/>
          <w:bCs/>
        </w:rPr>
        <w:t xml:space="preserve">13.2  </w:t>
      </w:r>
      <w:r>
        <w:t xml:space="preserve">Where a change materially increases the Vendor's costs or operational obligations, the parties will discuss in good faith any consequential commercial adjustment.</w:t>
      </w:r>
    </w:p>
    <w:p>
      <w:pPr>
        <w:spacing w:after="100" w:line="280"/>
        <w:ind w:left="360" w:hanging="360"/>
      </w:pPr>
      <w:r>
        <w:rPr>
          <w:b/>
          <w:bCs/>
        </w:rPr>
        <w:t xml:space="preserve">13.3  </w:t>
      </w:r>
      <w:r>
        <w:t xml:space="preserve">Vendor Personnel will be required to attest to any updated AUP within 30 days of issue, as a condition of continued access to Approved AI Tools.</w:t>
      </w:r>
    </w:p>
    <w:p>
      <w:pPr>
        <w:pStyle w:val="Heading1"/>
        <w:spacing w:after="160" w:before="360"/>
      </w:pPr>
      <w:r>
        <w:rPr>
          <w:b/>
          <w:bCs/>
          <w:color w:val="1F3864"/>
          <w:sz w:val="30"/>
          <w:szCs w:val="30"/>
        </w:rPr>
        <w:t xml:space="preserve">14. Term, Suspension and Termination</w:t>
      </w:r>
    </w:p>
    <w:p>
      <w:pPr>
        <w:spacing w:after="100" w:line="280"/>
        <w:ind w:left="360" w:hanging="360"/>
      </w:pPr>
      <w:r>
        <w:rPr>
          <w:b/>
          <w:bCs/>
        </w:rPr>
        <w:t xml:space="preserve">14.1  </w:t>
      </w:r>
      <w:r>
        <w:t xml:space="preserve">This Addendum takes effect on the Effective Date and continues for the term of the MSA, unless terminated earlier in accordance with this clause.</w:t>
      </w:r>
    </w:p>
    <w:p>
      <w:pPr>
        <w:spacing w:after="100" w:line="280"/>
        <w:ind w:left="360" w:hanging="360"/>
      </w:pPr>
      <w:r>
        <w:rPr>
          <w:b/>
          <w:bCs/>
        </w:rPr>
        <w:t xml:space="preserve">14.2  </w:t>
      </w:r>
      <w:r>
        <w:t xml:space="preserve">The Customer may suspend access to Approved AI Tools for any or all Vendor Personnel at any time and without cause, by written notice. Suspension does not relieve the Vendor of its obligations under the MSA or this Addendum.</w:t>
      </w:r>
    </w:p>
    <w:p>
      <w:pPr>
        <w:spacing w:after="100" w:line="280"/>
        <w:ind w:left="360" w:hanging="360"/>
      </w:pPr>
      <w:r>
        <w:rPr>
          <w:b/>
          <w:bCs/>
        </w:rPr>
        <w:t xml:space="preserve">14.3  </w:t>
      </w:r>
      <w:r>
        <w:t xml:space="preserve">Either party may terminate this Addendum on 30 days' written notice for convenience. Termination of this Addendum does not terminate the MSA or any SOW unless the parties agree otherwise.</w:t>
      </w:r>
    </w:p>
    <w:p>
      <w:pPr>
        <w:spacing w:after="100" w:line="280"/>
        <w:ind w:left="360" w:hanging="360"/>
      </w:pPr>
      <w:r>
        <w:rPr>
          <w:b/>
          <w:bCs/>
        </w:rPr>
        <w:t xml:space="preserve">14.4  </w:t>
      </w:r>
      <w:r>
        <w:t xml:space="preserve">The Customer may terminate this Addendum on written notice with immediate effect for material breach by the Vendor that is not cured within ten business days of written notice.</w:t>
      </w:r>
    </w:p>
    <w:p>
      <w:pPr>
        <w:spacing w:after="100" w:line="280"/>
        <w:ind w:left="360" w:hanging="360"/>
      </w:pPr>
      <w:r>
        <w:rPr>
          <w:b/>
          <w:bCs/>
        </w:rPr>
        <w:t xml:space="preserve">14.5  </w:t>
      </w:r>
      <w:r>
        <w:t xml:space="preserve">On termination of this Addendum or the MSA: (a) Vendor Personnel access to Approved AI Tools is revoked; (b) the Vendor procures that Vendor Personnel cease use of any Customer Code and any Customer-issued credentials; (c) the parties cooperate to return or securely delete Customer Code held by the Vendor or its subcontractors in accordance with the MSA.</w:t>
      </w:r>
    </w:p>
    <w:p>
      <w:pPr>
        <w:pStyle w:val="Heading1"/>
        <w:spacing w:after="160" w:before="360"/>
      </w:pPr>
      <w:r>
        <w:rPr>
          <w:b/>
          <w:bCs/>
          <w:color w:val="1F3864"/>
          <w:sz w:val="30"/>
          <w:szCs w:val="30"/>
        </w:rPr>
        <w:t xml:space="preserve">15. Survival</w:t>
      </w:r>
    </w:p>
    <w:p>
      <w:pPr>
        <w:spacing w:after="120" w:line="300"/>
      </w:pPr>
      <w:r>
        <w:t xml:space="preserve">Clauses 6 (Code Ownership and IP), 7 (Security and Data Handling), 10 (Audit Rights), 11 (Subcontractors), 12 (AI Incident Cooperation) and 14.5 (consequences of termination) survive termination of this Addendum to the extent necessary to give effect to their terms.</w:t>
      </w:r>
    </w:p>
    <w:p>
      <w:pPr>
        <w:pStyle w:val="Heading1"/>
        <w:spacing w:after="160" w:before="360"/>
      </w:pPr>
      <w:r>
        <w:rPr>
          <w:b/>
          <w:bCs/>
          <w:color w:val="1F3864"/>
          <w:sz w:val="30"/>
          <w:szCs w:val="30"/>
        </w:rPr>
        <w:t xml:space="preserve">16. General</w:t>
      </w:r>
    </w:p>
    <w:p>
      <w:pPr>
        <w:spacing w:after="100" w:line="280"/>
        <w:ind w:left="360" w:hanging="360"/>
      </w:pPr>
      <w:r>
        <w:rPr>
          <w:b/>
          <w:bCs/>
        </w:rPr>
        <w:t xml:space="preserve">16.1  </w:t>
      </w:r>
      <w:r>
        <w:t xml:space="preserve">Order of precedence: in case of conflict between this Addendum and the MSA / any SOW in respect of AI Tools and AI-related matters, this Addendum prevails. In all other respects, the MSA prevails.</w:t>
      </w:r>
    </w:p>
    <w:p>
      <w:pPr>
        <w:spacing w:after="100" w:line="280"/>
        <w:ind w:left="360" w:hanging="360"/>
      </w:pPr>
      <w:r>
        <w:rPr>
          <w:b/>
          <w:bCs/>
        </w:rPr>
        <w:t xml:space="preserve">16.2  </w:t>
      </w:r>
      <w:r>
        <w:t xml:space="preserve">Notices: notices under this Addendum are given as set out in the MSA.</w:t>
      </w:r>
    </w:p>
    <w:p>
      <w:pPr>
        <w:spacing w:after="100" w:line="280"/>
        <w:ind w:left="360" w:hanging="360"/>
      </w:pPr>
      <w:r>
        <w:rPr>
          <w:b/>
          <w:bCs/>
        </w:rPr>
        <w:t xml:space="preserve">16.3  </w:t>
      </w:r>
      <w:r>
        <w:t xml:space="preserve">Counterparts: this Addendum may be executed in counterparts and by electronic signature.</w:t>
      </w:r>
    </w:p>
    <w:p>
      <w:pPr>
        <w:pStyle w:val="Heading1"/>
        <w:spacing w:after="160" w:before="360"/>
      </w:pPr>
      <w:r>
        <w:rPr>
          <w:b/>
          <w:bCs/>
          <w:color w:val="1F3864"/>
          <w:sz w:val="30"/>
          <w:szCs w:val="30"/>
        </w:rPr>
        <w:t xml:space="preserve">Signed for and on Behalf of the Parties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Customer</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Vendor</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Name: ____________________________</w:t>
            </w:r>
          </w:p>
          <w:p>
            <w:pPr>
              <w:spacing w:after="40"/>
              <w:jc w:val="left"/>
            </w:pPr>
            <w:r>
              <w:rPr>
                <w:b w:val="false"/>
                <w:bCs w:val="false"/>
                <w:color w:val="1B1B1F"/>
                <w:sz w:val="20"/>
                <w:szCs w:val="20"/>
              </w:rPr>
              <w:t xml:space="preserve">Title: _____________________________</w:t>
            </w:r>
          </w:p>
          <w:p>
            <w:pPr>
              <w:spacing w:after="40"/>
              <w:jc w:val="left"/>
            </w:pPr>
            <w:r>
              <w:rPr>
                <w:b w:val="false"/>
                <w:bCs w:val="false"/>
                <w:color w:val="1B1B1F"/>
                <w:sz w:val="20"/>
                <w:szCs w:val="20"/>
              </w:rPr>
              <w:t xml:space="preserve">Signature: _________________________</w:t>
            </w:r>
          </w:p>
          <w:p>
            <w:pPr>
              <w:spacing w:after="40"/>
              <w:jc w:val="left"/>
            </w:pPr>
            <w:r>
              <w:rPr>
                <w:b w:val="false"/>
                <w:bCs w:val="false"/>
                <w:color w:val="1B1B1F"/>
                <w:sz w:val="20"/>
                <w:szCs w:val="20"/>
              </w:rPr>
              <w:t xml:space="preserve">Date: _____________________________</w:t>
            </w:r>
          </w:p>
        </w:tc>
        <w:tc>
          <w:tcPr>
            <w:tcMar>
              <w:top w:type="dxa" w:w="80"/>
              <w:left w:type="dxa" w:w="120"/>
              <w:bottom w:type="dxa" w:w="80"/>
              <w:right w:type="dxa" w:w="120"/>
            </w:tcMar>
          </w:tcPr>
          <w:p>
            <w:pPr>
              <w:spacing w:after="40"/>
              <w:jc w:val="left"/>
            </w:pPr>
            <w:r>
              <w:rPr>
                <w:b w:val="false"/>
                <w:bCs w:val="false"/>
                <w:color w:val="1B1B1F"/>
                <w:sz w:val="20"/>
                <w:szCs w:val="20"/>
              </w:rPr>
              <w:t xml:space="preserve">Name: ____________________________</w:t>
            </w:r>
          </w:p>
          <w:p>
            <w:pPr>
              <w:spacing w:after="40"/>
              <w:jc w:val="left"/>
            </w:pPr>
            <w:r>
              <w:rPr>
                <w:b w:val="false"/>
                <w:bCs w:val="false"/>
                <w:color w:val="1B1B1F"/>
                <w:sz w:val="20"/>
                <w:szCs w:val="20"/>
              </w:rPr>
              <w:t xml:space="preserve">Title: _____________________________</w:t>
            </w:r>
          </w:p>
          <w:p>
            <w:pPr>
              <w:spacing w:after="40"/>
              <w:jc w:val="left"/>
            </w:pPr>
            <w:r>
              <w:rPr>
                <w:b w:val="false"/>
                <w:bCs w:val="false"/>
                <w:color w:val="1B1B1F"/>
                <w:sz w:val="20"/>
                <w:szCs w:val="20"/>
              </w:rPr>
              <w:t xml:space="preserve">Signature: _________________________</w:t>
            </w:r>
          </w:p>
          <w:p>
            <w:pPr>
              <w:spacing w:after="40"/>
              <w:jc w:val="left"/>
            </w:pPr>
            <w:r>
              <w:rPr>
                <w:b w:val="false"/>
                <w:bCs w:val="false"/>
                <w:color w:val="1B1B1F"/>
                <w:sz w:val="20"/>
                <w:szCs w:val="20"/>
              </w:rPr>
              <w:t xml:space="preserve">Date: _____________________________</w:t>
            </w:r>
          </w:p>
        </w:tc>
      </w:tr>
    </w:tbl>
    <w:p>
      <w:pPr>
        <w:spacing w:after="60" w:before="400"/>
        <w:jc w:val="center"/>
      </w:pPr>
      <w:r>
        <w:rPr>
          <w:b/>
          <w:bCs/>
          <w:color w:val="1F3864"/>
          <w:sz w:val="28"/>
          <w:szCs w:val="28"/>
        </w:rPr>
        <w:t xml:space="preserve">SCHEDULES</w:t>
      </w:r>
    </w:p>
    <w:p>
      <w:pPr>
        <w:pBdr>
          <w:bottom w:val="single" w:color="D9D9D9" w:sz="8" w:space="1"/>
        </w:pBdr>
      </w:pPr>
    </w:p>
    <w:p>
      <w:pPr>
        <w:pStyle w:val="Heading1"/>
        <w:spacing w:after="160" w:before="360"/>
      </w:pPr>
      <w:r>
        <w:rPr>
          <w:b/>
          <w:bCs/>
          <w:color w:val="1F3864"/>
          <w:sz w:val="30"/>
          <w:szCs w:val="30"/>
        </w:rPr>
        <w:t xml:space="preserve">Schedule 1 — Approved AI Tools</w:t>
      </w:r>
    </w:p>
    <w:p>
      <w:pPr>
        <w:spacing w:after="120" w:line="300"/>
      </w:pPr>
      <w:r>
        <w:t xml:space="preserve">The following AI Tools are Approved AI Tools for the engagement. The Customer may amend this Schedule on notice in accordance with clause 13.</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Tool</w:t>
            </w:r>
          </w:p>
        </w:tc>
        <w:tc>
          <w:tcPr>
            <w:tcW w:type="pct" w:w="38%"/>
            <w:shd w:fill="1F3864" w:color="auto" w:val="clear"/>
            <w:tcMar>
              <w:top w:type="dxa" w:w="80"/>
              <w:left w:type="dxa" w:w="120"/>
              <w:bottom w:type="dxa" w:w="80"/>
              <w:right w:type="dxa" w:w="120"/>
            </w:tcMar>
          </w:tcPr>
          <w:p>
            <w:pPr>
              <w:spacing w:after="40"/>
              <w:jc w:val="left"/>
            </w:pPr>
            <w:r>
              <w:rPr>
                <w:b/>
                <w:bCs/>
                <w:color w:val="FFFFFF"/>
                <w:sz w:val="20"/>
                <w:szCs w:val="20"/>
              </w:rPr>
              <w:t xml:space="preserve">Purpose</w:t>
            </w:r>
          </w:p>
        </w:tc>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Provided by</w:t>
            </w:r>
          </w:p>
        </w:tc>
        <w:tc>
          <w:tcPr>
            <w:tcW w:type="pct" w:w="16%"/>
            <w:shd w:fill="1F3864" w:color="auto" w:val="clear"/>
            <w:tcMar>
              <w:top w:type="dxa" w:w="80"/>
              <w:left w:type="dxa" w:w="120"/>
              <w:bottom w:type="dxa" w:w="80"/>
              <w:right w:type="dxa" w:w="120"/>
            </w:tcMar>
          </w:tcPr>
          <w:p>
            <w:pPr>
              <w:spacing w:after="40"/>
              <w:jc w:val="left"/>
            </w:pPr>
            <w:r>
              <w:rPr>
                <w:b/>
                <w:bCs/>
                <w:color w:val="FFFFFF"/>
                <w:sz w:val="20"/>
                <w:szCs w:val="20"/>
              </w:rPr>
              <w:t xml:space="preserve">Notes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GitHub Copilot Enterprise + GHAS</w:t>
            </w:r>
          </w:p>
        </w:tc>
        <w:tc>
          <w:tcPr>
            <w:tcMar>
              <w:top w:type="dxa" w:w="80"/>
              <w:left w:type="dxa" w:w="120"/>
              <w:bottom w:type="dxa" w:w="80"/>
              <w:right w:type="dxa" w:w="120"/>
            </w:tcMar>
          </w:tcPr>
          <w:p>
            <w:pPr>
              <w:spacing w:after="40"/>
              <w:jc w:val="left"/>
            </w:pPr>
            <w:r>
              <w:rPr>
                <w:b w:val="false"/>
                <w:bCs w:val="false"/>
                <w:color w:val="1B1B1F"/>
                <w:sz w:val="20"/>
                <w:szCs w:val="20"/>
              </w:rPr>
              <w:t xml:space="preserve">Code generation, code review, autofix, code scanning, secret scanning, dependency review.</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w:t>
            </w:r>
          </w:p>
        </w:tc>
        <w:tc>
          <w:tcPr>
            <w:tcMar>
              <w:top w:type="dxa" w:w="80"/>
              <w:left w:type="dxa" w:w="120"/>
              <w:bottom w:type="dxa" w:w="80"/>
              <w:right w:type="dxa" w:w="120"/>
            </w:tcMar>
          </w:tcPr>
          <w:p>
            <w:pPr>
              <w:spacing w:after="40"/>
              <w:jc w:val="left"/>
            </w:pPr>
            <w:r>
              <w:rPr>
                <w:b w:val="false"/>
                <w:bCs w:val="false"/>
                <w:color w:val="1B1B1F"/>
                <w:sz w:val="20"/>
                <w:szCs w:val="20"/>
              </w:rPr>
              <w:t xml:space="preserve">Default for all engagements.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Claude Code on Azure AI Foundry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Software-engineering tasks for Vendor Personnel enrolled in the parallel-pilot cohort.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Customer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On allocation only.</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Microsoft 365 Copilot</w:t>
            </w:r>
          </w:p>
        </w:tc>
        <w:tc>
          <w:tcPr>
            <w:tcMar>
              <w:top w:type="dxa" w:w="80"/>
              <w:left w:type="dxa" w:w="120"/>
              <w:bottom w:type="dxa" w:w="80"/>
              <w:right w:type="dxa" w:w="120"/>
            </w:tcMar>
          </w:tcPr>
          <w:p>
            <w:pPr>
              <w:spacing w:after="40"/>
              <w:jc w:val="left"/>
            </w:pPr>
            <w:r>
              <w:rPr>
                <w:b w:val="false"/>
                <w:bCs w:val="false"/>
                <w:color w:val="1B1B1F"/>
                <w:sz w:val="20"/>
                <w:szCs w:val="20"/>
              </w:rPr>
              <w:t xml:space="preserve">Productivity tooling on Customer M365 tenant.</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w:t>
            </w:r>
          </w:p>
        </w:tc>
        <w:tc>
          <w:tcPr>
            <w:tcMar>
              <w:top w:type="dxa" w:w="80"/>
              <w:left w:type="dxa" w:w="120"/>
              <w:bottom w:type="dxa" w:w="80"/>
              <w:right w:type="dxa" w:w="120"/>
            </w:tcMar>
          </w:tcPr>
          <w:p>
            <w:pPr>
              <w:spacing w:after="40"/>
              <w:jc w:val="left"/>
            </w:pPr>
            <w:r>
              <w:rPr>
                <w:b w:val="false"/>
                <w:bCs w:val="false"/>
                <w:color w:val="1B1B1F"/>
                <w:sz w:val="20"/>
                <w:szCs w:val="20"/>
              </w:rPr>
              <w:t xml:space="preserve">Where licensed for the engagement.</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Microsoft Copilot Studio</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Building agents only on registered use cases.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Customer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Use-case-by-use-case.</w:t>
            </w:r>
          </w:p>
        </w:tc>
      </w:tr>
    </w:tbl>
    <w:p>
      <w:pPr>
        <w:spacing w:after="80"/>
      </w:pPr>
      <w:r>
        <w:rPr>
          <w:i/>
          <w:iCs/>
          <w:color w:val="5A5A66"/>
          <w:sz w:val="20"/>
          <w:szCs w:val="20"/>
        </w:rPr>
        <w:t xml:space="preserve">Tools not listed are not Approved AI Tools and may not be used in connection with Customer Code unless and until added to this Schedule by Customer notice.</w:t>
      </w:r>
    </w:p>
    <w:p>
      <w:pPr>
        <w:pStyle w:val="Heading1"/>
        <w:spacing w:after="160" w:before="360"/>
      </w:pPr>
      <w:r>
        <w:rPr>
          <w:b/>
          <w:bCs/>
          <w:color w:val="1F3864"/>
          <w:sz w:val="30"/>
          <w:szCs w:val="30"/>
        </w:rPr>
        <w:t xml:space="preserve">Schedule 2 — Personnel Schedule</w:t>
      </w:r>
    </w:p>
    <w:p>
      <w:pPr>
        <w:spacing w:after="80"/>
      </w:pPr>
      <w:r>
        <w:rPr>
          <w:i/>
          <w:iCs/>
          <w:color w:val="5A5A66"/>
          <w:sz w:val="20"/>
          <w:szCs w:val="20"/>
        </w:rPr>
        <w:t xml:space="preserve">Maintained jointly by the parties. Updated within five business days of any change. Source of truth for AUP attestation status, AI Tool entitlement, and JML.</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gridCol w:w="100"/>
        <w:gridCol w:w="100"/>
      </w:tblGrid>
      <w:tr>
        <w:trPr>
          <w:tblHeader/>
        </w:trPr>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Name</w:t>
            </w:r>
          </w:p>
        </w:tc>
        <w:tc>
          <w:tcPr>
            <w:tcW w:type="pct" w:w="14%"/>
            <w:shd w:fill="1F3864" w:color="auto" w:val="clear"/>
            <w:tcMar>
              <w:top w:type="dxa" w:w="80"/>
              <w:left w:type="dxa" w:w="120"/>
              <w:bottom w:type="dxa" w:w="80"/>
              <w:right w:type="dxa" w:w="120"/>
            </w:tcMar>
          </w:tcPr>
          <w:p>
            <w:pPr>
              <w:spacing w:after="40"/>
              <w:jc w:val="left"/>
            </w:pPr>
            <w:r>
              <w:rPr>
                <w:b/>
                <w:bCs/>
                <w:color w:val="FFFFFF"/>
                <w:sz w:val="20"/>
                <w:szCs w:val="20"/>
              </w:rPr>
              <w:t xml:space="preserve">Role / level</w:t>
            </w:r>
          </w:p>
        </w:tc>
        <w:tc>
          <w:tcPr>
            <w:tcW w:type="pct" w:w="12%"/>
            <w:shd w:fill="1F3864" w:color="auto" w:val="clear"/>
            <w:tcMar>
              <w:top w:type="dxa" w:w="80"/>
              <w:left w:type="dxa" w:w="120"/>
              <w:bottom w:type="dxa" w:w="80"/>
              <w:right w:type="dxa" w:w="120"/>
            </w:tcMar>
          </w:tcPr>
          <w:p>
            <w:pPr>
              <w:spacing w:after="40"/>
              <w:jc w:val="left"/>
            </w:pPr>
            <w:r>
              <w:rPr>
                <w:b/>
                <w:bCs/>
                <w:color w:val="FFFFFF"/>
                <w:sz w:val="20"/>
                <w:szCs w:val="20"/>
              </w:rPr>
              <w:t xml:space="preserve">Squad</w:t>
            </w:r>
          </w:p>
        </w:tc>
        <w:tc>
          <w:tcPr>
            <w:tcW w:type="pct" w:w="14%"/>
            <w:shd w:fill="1F3864" w:color="auto" w:val="clear"/>
            <w:tcMar>
              <w:top w:type="dxa" w:w="80"/>
              <w:left w:type="dxa" w:w="120"/>
              <w:bottom w:type="dxa" w:w="80"/>
              <w:right w:type="dxa" w:w="120"/>
            </w:tcMar>
          </w:tcPr>
          <w:p>
            <w:pPr>
              <w:spacing w:after="40"/>
              <w:jc w:val="left"/>
            </w:pPr>
            <w:r>
              <w:rPr>
                <w:b/>
                <w:bCs/>
                <w:color w:val="FFFFFF"/>
                <w:sz w:val="20"/>
                <w:szCs w:val="20"/>
              </w:rPr>
              <w:t xml:space="preserve">Engagement ref</w:t>
            </w:r>
          </w:p>
        </w:tc>
        <w:tc>
          <w:tcPr>
            <w:tcW w:type="pct" w:w="10%"/>
            <w:shd w:fill="1F3864" w:color="auto" w:val="clear"/>
            <w:tcMar>
              <w:top w:type="dxa" w:w="80"/>
              <w:left w:type="dxa" w:w="120"/>
              <w:bottom w:type="dxa" w:w="80"/>
              <w:right w:type="dxa" w:w="120"/>
            </w:tcMar>
          </w:tcPr>
          <w:p>
            <w:pPr>
              <w:spacing w:after="40"/>
              <w:jc w:val="center"/>
            </w:pPr>
            <w:r>
              <w:rPr>
                <w:b/>
                <w:bCs/>
                <w:color w:val="FFFFFF"/>
                <w:sz w:val="20"/>
                <w:szCs w:val="20"/>
              </w:rPr>
              <w:t xml:space="preserve">Start</w:t>
            </w:r>
          </w:p>
        </w:tc>
        <w:tc>
          <w:tcPr>
            <w:tcW w:type="pct" w:w="12%"/>
            <w:shd w:fill="1F3864" w:color="auto" w:val="clear"/>
            <w:tcMar>
              <w:top w:type="dxa" w:w="80"/>
              <w:left w:type="dxa" w:w="120"/>
              <w:bottom w:type="dxa" w:w="80"/>
              <w:right w:type="dxa" w:w="120"/>
            </w:tcMar>
          </w:tcPr>
          <w:p>
            <w:pPr>
              <w:spacing w:after="40"/>
              <w:jc w:val="center"/>
            </w:pPr>
            <w:r>
              <w:rPr>
                <w:b/>
                <w:bCs/>
                <w:color w:val="FFFFFF"/>
                <w:sz w:val="20"/>
                <w:szCs w:val="20"/>
              </w:rPr>
              <w:t xml:space="preserve">Planned end</w:t>
            </w:r>
          </w:p>
        </w:tc>
        <w:tc>
          <w:tcPr>
            <w:tcW w:type="pct" w:w="10%"/>
            <w:shd w:fill="1F3864" w:color="auto" w:val="clear"/>
            <w:tcMar>
              <w:top w:type="dxa" w:w="80"/>
              <w:left w:type="dxa" w:w="120"/>
              <w:bottom w:type="dxa" w:w="80"/>
              <w:right w:type="dxa" w:w="120"/>
            </w:tcMar>
          </w:tcPr>
          <w:p>
            <w:pPr>
              <w:spacing w:after="40"/>
              <w:jc w:val="center"/>
            </w:pPr>
            <w:r>
              <w:rPr>
                <w:b/>
                <w:bCs/>
                <w:color w:val="FFFFFF"/>
                <w:sz w:val="20"/>
                <w:szCs w:val="20"/>
              </w:rPr>
              <w:t xml:space="preserve">AUP attested</w:t>
            </w:r>
          </w:p>
        </w:tc>
        <w:tc>
          <w:tcPr>
            <w:tcW w:type="pct" w:w="10%"/>
            <w:shd w:fill="1F3864" w:color="auto" w:val="clear"/>
            <w:tcMar>
              <w:top w:type="dxa" w:w="80"/>
              <w:left w:type="dxa" w:w="120"/>
              <w:bottom w:type="dxa" w:w="80"/>
              <w:right w:type="dxa" w:w="120"/>
            </w:tcMar>
          </w:tcPr>
          <w:p>
            <w:pPr>
              <w:spacing w:after="40"/>
              <w:jc w:val="center"/>
            </w:pPr>
            <w:r>
              <w:rPr>
                <w:b/>
                <w:bCs/>
                <w:color w:val="FFFFFF"/>
                <w:sz w:val="20"/>
                <w:szCs w:val="20"/>
              </w:rPr>
              <w:t xml:space="preserve">Tools entitled</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[Name]</w:t>
            </w:r>
          </w:p>
        </w:tc>
        <w:tc>
          <w:tcPr>
            <w:tcMar>
              <w:top w:type="dxa" w:w="80"/>
              <w:left w:type="dxa" w:w="120"/>
              <w:bottom w:type="dxa" w:w="80"/>
              <w:right w:type="dxa" w:w="120"/>
            </w:tcMar>
          </w:tcPr>
          <w:p>
            <w:pPr>
              <w:spacing w:after="40"/>
              <w:jc w:val="left"/>
            </w:pPr>
            <w:r>
              <w:rPr>
                <w:b w:val="false"/>
                <w:bCs w:val="false"/>
                <w:color w:val="1B1B1F"/>
                <w:sz w:val="20"/>
                <w:szCs w:val="20"/>
              </w:rPr>
              <w:t xml:space="preserve">[Senior Eng]</w:t>
            </w:r>
          </w:p>
        </w:tc>
        <w:tc>
          <w:tcPr>
            <w:tcMar>
              <w:top w:type="dxa" w:w="80"/>
              <w:left w:type="dxa" w:w="120"/>
              <w:bottom w:type="dxa" w:w="80"/>
              <w:right w:type="dxa" w:w="120"/>
            </w:tcMar>
          </w:tcPr>
          <w:p>
            <w:pPr>
              <w:spacing w:after="40"/>
              <w:jc w:val="left"/>
            </w:pPr>
            <w:r>
              <w:rPr>
                <w:b w:val="false"/>
                <w:bCs w:val="false"/>
                <w:color w:val="1B1B1F"/>
                <w:sz w:val="20"/>
                <w:szCs w:val="20"/>
              </w:rPr>
              <w:t xml:space="preserve">[Squad]</w:t>
            </w:r>
          </w:p>
        </w:tc>
        <w:tc>
          <w:tcPr>
            <w:tcMar>
              <w:top w:type="dxa" w:w="80"/>
              <w:left w:type="dxa" w:w="120"/>
              <w:bottom w:type="dxa" w:w="80"/>
              <w:right w:type="dxa" w:w="120"/>
            </w:tcMar>
          </w:tcPr>
          <w:p>
            <w:pPr>
              <w:spacing w:after="40"/>
              <w:jc w:val="left"/>
            </w:pPr>
            <w:r>
              <w:rPr>
                <w:b w:val="false"/>
                <w:bCs w:val="false"/>
                <w:color w:val="1B1B1F"/>
                <w:sz w:val="20"/>
                <w:szCs w:val="20"/>
              </w:rPr>
              <w:t xml:space="preserve">[Eng ID]</w:t>
            </w:r>
          </w:p>
        </w:tc>
        <w:tc>
          <w:tcPr>
            <w:tcMar>
              <w:top w:type="dxa" w:w="80"/>
              <w:left w:type="dxa" w:w="120"/>
              <w:bottom w:type="dxa" w:w="80"/>
              <w:right w:type="dxa" w:w="120"/>
            </w:tcMar>
          </w:tcPr>
          <w:p>
            <w:pPr>
              <w:spacing w:after="40"/>
              <w:jc w:val="center"/>
            </w:pPr>
            <w:r>
              <w:rPr>
                <w:b w:val="false"/>
                <w:bCs w:val="false"/>
                <w:color w:val="1B1B1F"/>
                <w:sz w:val="20"/>
                <w:szCs w:val="20"/>
              </w:rPr>
              <w:t xml:space="preserve">[Date]</w:t>
            </w:r>
          </w:p>
        </w:tc>
        <w:tc>
          <w:tcPr>
            <w:tcMar>
              <w:top w:type="dxa" w:w="80"/>
              <w:left w:type="dxa" w:w="120"/>
              <w:bottom w:type="dxa" w:w="80"/>
              <w:right w:type="dxa" w:w="120"/>
            </w:tcMar>
          </w:tcPr>
          <w:p>
            <w:pPr>
              <w:spacing w:after="40"/>
              <w:jc w:val="center"/>
            </w:pPr>
            <w:r>
              <w:rPr>
                <w:b w:val="false"/>
                <w:bCs w:val="false"/>
                <w:color w:val="1B1B1F"/>
                <w:sz w:val="20"/>
                <w:szCs w:val="20"/>
              </w:rPr>
              <w:t xml:space="preserve">[Date]</w:t>
            </w:r>
          </w:p>
        </w:tc>
        <w:tc>
          <w:tcPr>
            <w:tcMar>
              <w:top w:type="dxa" w:w="80"/>
              <w:left w:type="dxa" w:w="120"/>
              <w:bottom w:type="dxa" w:w="80"/>
              <w:right w:type="dxa" w:w="120"/>
            </w:tcMar>
          </w:tcPr>
          <w:p>
            <w:pPr>
              <w:spacing w:after="40"/>
              <w:jc w:val="center"/>
            </w:pPr>
            <w:r>
              <w:rPr>
                <w:b w:val="false"/>
                <w:bCs w:val="false"/>
                <w:color w:val="1B1B1F"/>
                <w:sz w:val="20"/>
                <w:szCs w:val="20"/>
              </w:rPr>
              <w:t xml:space="preserve">Y / N</w:t>
            </w:r>
          </w:p>
        </w:tc>
        <w:tc>
          <w:tcPr>
            <w:tcMar>
              <w:top w:type="dxa" w:w="80"/>
              <w:left w:type="dxa" w:w="120"/>
              <w:bottom w:type="dxa" w:w="80"/>
              <w:right w:type="dxa" w:w="120"/>
            </w:tcMar>
          </w:tcPr>
          <w:p>
            <w:pPr>
              <w:spacing w:after="40"/>
              <w:jc w:val="center"/>
            </w:pPr>
            <w:r>
              <w:rPr>
                <w:b w:val="false"/>
                <w:bCs w:val="false"/>
                <w:color w:val="1B1B1F"/>
                <w:sz w:val="20"/>
                <w:szCs w:val="20"/>
              </w:rPr>
              <w:t xml:space="preserve">GHCE / GHAS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[Name]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[Eng]</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[Squad]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[Eng ID]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[Date]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[Date]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Y / 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GHCE / GHAS</w:t>
            </w:r>
          </w:p>
        </w:tc>
      </w:tr>
    </w:tbl>
    <w:p>
      <w:pPr>
        <w:pStyle w:val="Heading1"/>
        <w:spacing w:after="160" w:before="360"/>
      </w:pPr>
      <w:r>
        <w:rPr>
          <w:b/>
          <w:bCs/>
          <w:color w:val="1F3864"/>
          <w:sz w:val="30"/>
          <w:szCs w:val="30"/>
        </w:rPr>
        <w:t xml:space="preserve">Schedule 3 — Productivity Measurement</w:t>
      </w:r>
    </w:p>
    <w:p>
      <w:pPr>
        <w:pStyle w:val="Heading2"/>
        <w:spacing w:after="120" w:before="240"/>
      </w:pPr>
      <w:r>
        <w:rPr>
          <w:b/>
          <w:bCs/>
          <w:color w:val="0F1F44"/>
          <w:sz w:val="24"/>
          <w:szCs w:val="24"/>
        </w:rPr>
        <w:t xml:space="preserve">3A. Metrics and targets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Metric</w:t>
            </w:r>
          </w:p>
        </w:tc>
        <w:tc>
          <w:tcPr>
            <w:tcW w:type="pct" w:w="44%"/>
            <w:shd w:fill="1F3864" w:color="auto" w:val="clear"/>
            <w:tcMar>
              <w:top w:type="dxa" w:w="80"/>
              <w:left w:type="dxa" w:w="120"/>
              <w:bottom w:type="dxa" w:w="80"/>
              <w:right w:type="dxa" w:w="120"/>
            </w:tcMar>
          </w:tcPr>
          <w:p>
            <w:pPr>
              <w:spacing w:after="40"/>
              <w:jc w:val="left"/>
            </w:pPr>
            <w:r>
              <w:rPr>
                <w:b/>
                <w:bCs/>
                <w:color w:val="FFFFFF"/>
                <w:sz w:val="20"/>
                <w:szCs w:val="20"/>
              </w:rPr>
              <w:t xml:space="preserve">Definition</w:t>
            </w:r>
          </w:p>
        </w:tc>
        <w:tc>
          <w:tcPr>
            <w:tcW w:type="pct" w:w="26%"/>
            <w:shd w:fill="1F3864" w:color="auto" w:val="clear"/>
            <w:tcMar>
              <w:top w:type="dxa" w:w="80"/>
              <w:left w:type="dxa" w:w="120"/>
              <w:bottom w:type="dxa" w:w="80"/>
              <w:right w:type="dxa" w:w="120"/>
            </w:tcMar>
          </w:tcPr>
          <w:p>
            <w:pPr>
              <w:spacing w:after="40"/>
              <w:jc w:val="center"/>
            </w:pPr>
            <w:r>
              <w:rPr>
                <w:b/>
                <w:bCs/>
                <w:color w:val="FFFFFF"/>
                <w:sz w:val="20"/>
                <w:szCs w:val="20"/>
              </w:rPr>
              <w:t xml:space="preserve">Target uplift over baseline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Throughput</w:t>
            </w:r>
          </w:p>
        </w:tc>
        <w:tc>
          <w:tcPr>
            <w:tcMar>
              <w:top w:type="dxa" w:w="80"/>
              <w:left w:type="dxa" w:w="120"/>
              <w:bottom w:type="dxa" w:w="80"/>
              <w:right w:type="dxa" w:w="120"/>
            </w:tcMar>
          </w:tcPr>
          <w:p>
            <w:pPr>
              <w:spacing w:after="40"/>
              <w:jc w:val="left"/>
            </w:pPr>
            <w:r>
              <w:rPr>
                <w:b w:val="false"/>
                <w:bCs w:val="false"/>
                <w:color w:val="1B1B1F"/>
                <w:sz w:val="20"/>
                <w:szCs w:val="20"/>
              </w:rPr>
              <w:t xml:space="preserve">Story points completed per FTE-week, normalised by complexity.</w:t>
            </w:r>
          </w:p>
        </w:tc>
        <w:tc>
          <w:tcPr>
            <w:tcMar>
              <w:top w:type="dxa" w:w="80"/>
              <w:left w:type="dxa" w:w="120"/>
              <w:bottom w:type="dxa" w:w="80"/>
              <w:right w:type="dxa" w:w="120"/>
            </w:tcMar>
          </w:tcPr>
          <w:p>
            <w:pPr>
              <w:spacing w:after="40"/>
              <w:jc w:val="center"/>
            </w:pPr>
            <w:r>
              <w:rPr>
                <w:b w:val="false"/>
                <w:bCs w:val="false"/>
                <w:color w:val="1B1B1F"/>
                <w:sz w:val="20"/>
                <w:szCs w:val="20"/>
              </w:rPr>
              <w:t xml:space="preserve">+15% by month 6</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Lead time for changes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Median commit-to-deploy (DORA).</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−25% by month 6</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Change failure rate</w:t>
            </w:r>
          </w:p>
        </w:tc>
        <w:tc>
          <w:tcPr>
            <w:tcMar>
              <w:top w:type="dxa" w:w="80"/>
              <w:left w:type="dxa" w:w="120"/>
              <w:bottom w:type="dxa" w:w="80"/>
              <w:right w:type="dxa" w:w="120"/>
            </w:tcMar>
          </w:tcPr>
          <w:p>
            <w:pPr>
              <w:spacing w:after="40"/>
              <w:jc w:val="left"/>
            </w:pPr>
            <w:r>
              <w:rPr>
                <w:b w:val="false"/>
                <w:bCs w:val="false"/>
                <w:color w:val="1B1B1F"/>
                <w:sz w:val="20"/>
                <w:szCs w:val="20"/>
              </w:rPr>
              <w:t xml:space="preserve">Changes causing incident/rollback (DORA).</w:t>
            </w:r>
          </w:p>
        </w:tc>
        <w:tc>
          <w:tcPr>
            <w:tcMar>
              <w:top w:type="dxa" w:w="80"/>
              <w:left w:type="dxa" w:w="120"/>
              <w:bottom w:type="dxa" w:w="80"/>
              <w:right w:type="dxa" w:w="120"/>
            </w:tcMar>
          </w:tcPr>
          <w:p>
            <w:pPr>
              <w:spacing w:after="40"/>
              <w:jc w:val="center"/>
            </w:pPr>
            <w:r>
              <w:rPr>
                <w:b w:val="false"/>
                <w:bCs w:val="false"/>
                <w:color w:val="1B1B1F"/>
                <w:sz w:val="20"/>
                <w:szCs w:val="20"/>
              </w:rPr>
              <w:t xml:space="preserve">Stable or improving</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 cycle time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Median PR-open to merge.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−20% by month 6</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Cost per delivered story point</w:t>
            </w:r>
          </w:p>
        </w:tc>
        <w:tc>
          <w:tcPr>
            <w:tcMar>
              <w:top w:type="dxa" w:w="80"/>
              <w:left w:type="dxa" w:w="120"/>
              <w:bottom w:type="dxa" w:w="80"/>
              <w:right w:type="dxa" w:w="120"/>
            </w:tcMar>
          </w:tcPr>
          <w:p>
            <w:pPr>
              <w:spacing w:after="40"/>
              <w:jc w:val="left"/>
            </w:pPr>
            <w:r>
              <w:rPr>
                <w:b w:val="false"/>
                <w:bCs w:val="false"/>
                <w:color w:val="1B1B1F"/>
                <w:sz w:val="20"/>
                <w:szCs w:val="20"/>
              </w:rPr>
              <w:t xml:space="preserve">Vendor cost / points delivered, by Squad.</w:t>
            </w:r>
          </w:p>
        </w:tc>
        <w:tc>
          <w:tcPr>
            <w:tcMar>
              <w:top w:type="dxa" w:w="80"/>
              <w:left w:type="dxa" w:w="120"/>
              <w:bottom w:type="dxa" w:w="80"/>
              <w:right w:type="dxa" w:w="120"/>
            </w:tcMar>
          </w:tcPr>
          <w:p>
            <w:pPr>
              <w:spacing w:after="40"/>
              <w:jc w:val="center"/>
            </w:pPr>
            <w:r>
              <w:rPr>
                <w:b w:val="false"/>
                <w:bCs w:val="false"/>
                <w:color w:val="1B1B1F"/>
                <w:sz w:val="20"/>
                <w:szCs w:val="20"/>
              </w:rPr>
              <w:t xml:space="preserve">−10–15% by month 9</w:t>
            </w:r>
          </w:p>
        </w:tc>
      </w:tr>
    </w:tbl>
    <w:p>
      <w:pPr>
        <w:pStyle w:val="Heading2"/>
        <w:spacing w:after="120" w:before="240"/>
      </w:pPr>
      <w:r>
        <w:rPr>
          <w:b/>
          <w:bCs/>
          <w:color w:val="0F1F44"/>
          <w:sz w:val="24"/>
          <w:szCs w:val="24"/>
        </w:rPr>
        <w:t xml:space="preserve">3B. Baseline and reporting</w:t>
      </w:r>
    </w:p>
    <w:p>
      <w:pPr>
        <w:pStyle w:val="ListParagraph"/>
        <w:numPr>
          <w:ilvl w:val="0"/>
          <w:numId w:val="2"/>
        </w:numPr>
        <w:spacing w:after="80" w:line="280"/>
      </w:pPr>
      <w:r>
        <w:t xml:space="preserve">Two sprints of pre-AI baseline data captured for each Squad before AI Tool entitlement is granted; signed by Squad Lead and Vendor account manager.</w:t>
      </w:r>
    </w:p>
    <w:p>
      <w:pPr>
        <w:pStyle w:val="ListParagraph"/>
        <w:numPr>
          <w:ilvl w:val="0"/>
          <w:numId w:val="2"/>
        </w:numPr>
        <w:spacing w:after="80" w:line="280"/>
      </w:pPr>
      <w:r>
        <w:t xml:space="preserve">Customer instruments measurement; data shared monthly with Vendor.</w:t>
      </w:r>
    </w:p>
    <w:p>
      <w:pPr>
        <w:pStyle w:val="ListParagraph"/>
        <w:numPr>
          <w:ilvl w:val="0"/>
          <w:numId w:val="2"/>
        </w:numPr>
        <w:spacing w:after="80" w:line="280"/>
      </w:pPr>
      <w:r>
        <w:t xml:space="preserve">Disputes over measurement are escalated under the MSA's standard dispute-resolution process.</w:t>
      </w:r>
    </w:p>
    <w:p>
      <w:pPr>
        <w:pStyle w:val="Heading1"/>
        <w:spacing w:after="160" w:before="360"/>
      </w:pPr>
      <w:r>
        <w:rPr>
          <w:b/>
          <w:bCs/>
          <w:color w:val="1F3864"/>
          <w:sz w:val="30"/>
          <w:szCs w:val="30"/>
        </w:rPr>
        <w:t xml:space="preserve">Schedule 4 — Device Standards</w:t>
      </w:r>
    </w:p>
    <w:p>
      <w:pPr>
        <w:pStyle w:val="ListParagraph"/>
        <w:numPr>
          <w:ilvl w:val="0"/>
          <w:numId w:val="2"/>
        </w:numPr>
        <w:spacing w:after="80" w:line="280"/>
      </w:pPr>
      <w:r>
        <w:t xml:space="preserve">Default: Microsoft Dev Box, configured with Approved AI Tools, no local persistence, auto-stop in off-hours.</w:t>
      </w:r>
    </w:p>
    <w:p>
      <w:pPr>
        <w:pStyle w:val="ListParagraph"/>
        <w:numPr>
          <w:ilvl w:val="0"/>
          <w:numId w:val="2"/>
        </w:numPr>
        <w:spacing w:after="80" w:line="280"/>
      </w:pPr>
      <w:r>
        <w:t xml:space="preserve">Where Dev Box is not viable: Customer-managed laptop, enrolled in Customer's MDM, full-disk encryption, only approved IDE extensions, monthly compliance attestation by Vendor.</w:t>
      </w:r>
    </w:p>
    <w:p>
      <w:pPr>
        <w:pStyle w:val="ListParagraph"/>
        <w:numPr>
          <w:ilvl w:val="0"/>
          <w:numId w:val="2"/>
        </w:numPr>
        <w:spacing w:after="80" w:line="280"/>
      </w:pPr>
      <w:r>
        <w:t xml:space="preserve">Personal devices: never permitted.</w:t>
      </w:r>
    </w:p>
    <w:p>
      <w:pPr>
        <w:pStyle w:val="ListParagraph"/>
        <w:numPr>
          <w:ilvl w:val="0"/>
          <w:numId w:val="2"/>
        </w:numPr>
        <w:spacing w:after="80" w:line="280"/>
      </w:pPr>
      <w:r>
        <w:t xml:space="preserve">Approved IDE list: VS Code, JetBrains Rider/IntelliJ, Visual Studio (each with Customer-approved extensions only).</w:t>
      </w:r>
    </w:p>
    <w:p>
      <w:pPr>
        <w:pStyle w:val="ListParagraph"/>
        <w:numPr>
          <w:ilvl w:val="0"/>
          <w:numId w:val="2"/>
        </w:numPr>
        <w:spacing w:after="80" w:line="280"/>
      </w:pPr>
      <w:r>
        <w:t xml:space="preserve">VPN required for any access to Approved Environment from outside the Vendor's permitted delivery locations.</w:t>
      </w:r>
    </w:p>
    <w:p>
      <w:pPr>
        <w:pStyle w:val="Heading1"/>
        <w:spacing w:after="160" w:before="360"/>
      </w:pPr>
      <w:r>
        <w:rPr>
          <w:b/>
          <w:bCs/>
          <w:color w:val="1F3864"/>
          <w:sz w:val="30"/>
          <w:szCs w:val="30"/>
        </w:rPr>
        <w:t xml:space="preserve">Schedule 5 — Incident Notification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2%"/>
            <w:shd w:fill="1F3864" w:color="auto" w:val="clear"/>
            <w:tcMar>
              <w:top w:type="dxa" w:w="80"/>
              <w:left w:type="dxa" w:w="120"/>
              <w:bottom w:type="dxa" w:w="80"/>
              <w:right w:type="dxa" w:w="120"/>
            </w:tcMar>
          </w:tcPr>
          <w:p>
            <w:pPr>
              <w:spacing w:after="40"/>
              <w:jc w:val="center"/>
            </w:pPr>
            <w:r>
              <w:rPr>
                <w:b/>
                <w:bCs/>
                <w:color w:val="FFFFFF"/>
                <w:sz w:val="20"/>
                <w:szCs w:val="20"/>
              </w:rPr>
              <w:t xml:space="preserve">Severity</w:t>
            </w:r>
          </w:p>
        </w:tc>
        <w:tc>
          <w:tcPr>
            <w:tcW w:type="pct" w:w="50%"/>
            <w:shd w:fill="1F3864" w:color="auto" w:val="clear"/>
            <w:tcMar>
              <w:top w:type="dxa" w:w="80"/>
              <w:left w:type="dxa" w:w="120"/>
              <w:bottom w:type="dxa" w:w="80"/>
              <w:right w:type="dxa" w:w="120"/>
            </w:tcMar>
          </w:tcPr>
          <w:p>
            <w:pPr>
              <w:spacing w:after="40"/>
              <w:jc w:val="left"/>
            </w:pPr>
            <w:r>
              <w:rPr>
                <w:b/>
                <w:bCs/>
                <w:color w:val="FFFFFF"/>
                <w:sz w:val="20"/>
                <w:szCs w:val="20"/>
              </w:rPr>
              <w:t xml:space="preserve">Examples</w:t>
            </w:r>
          </w:p>
        </w:tc>
        <w:tc>
          <w:tcPr>
            <w:tcW w:type="pct" w:w="28%"/>
            <w:shd w:fill="1F3864" w:color="auto" w:val="clear"/>
            <w:tcMar>
              <w:top w:type="dxa" w:w="80"/>
              <w:left w:type="dxa" w:w="120"/>
              <w:bottom w:type="dxa" w:w="80"/>
              <w:right w:type="dxa" w:w="120"/>
            </w:tcMar>
          </w:tcPr>
          <w:p>
            <w:pPr>
              <w:spacing w:after="40"/>
              <w:jc w:val="center"/>
            </w:pPr>
            <w:r>
              <w:rPr>
                <w:b/>
                <w:bCs/>
                <w:color w:val="FFFFFF"/>
                <w:sz w:val="20"/>
                <w:szCs w:val="20"/>
              </w:rPr>
              <w:t xml:space="preserve">Notification SLA</w:t>
            </w:r>
          </w:p>
        </w:tc>
      </w:tr>
      <w:tr>
        <w:tc>
          <w:tcPr>
            <w:tcMar>
              <w:top w:type="dxa" w:w="80"/>
              <w:left w:type="dxa" w:w="120"/>
              <w:bottom w:type="dxa" w:w="80"/>
              <w:right w:type="dxa" w:w="120"/>
            </w:tcMar>
          </w:tcPr>
          <w:p>
            <w:pPr>
              <w:spacing w:after="40"/>
              <w:jc w:val="center"/>
            </w:pPr>
            <w:r>
              <w:rPr>
                <w:b/>
                <w:bCs/>
                <w:color w:val="B23A3A"/>
                <w:sz w:val="20"/>
                <w:szCs w:val="20"/>
              </w:rPr>
              <w:t xml:space="preserve">P1 — Critical</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 data leakage; production secret leaked; AI used outside Approved Environment with Customer data exposed.</w:t>
            </w:r>
          </w:p>
        </w:tc>
        <w:tc>
          <w:tcPr>
            <w:tcMar>
              <w:top w:type="dxa" w:w="80"/>
              <w:left w:type="dxa" w:w="120"/>
              <w:bottom w:type="dxa" w:w="80"/>
              <w:right w:type="dxa" w:w="120"/>
            </w:tcMar>
          </w:tcPr>
          <w:p>
            <w:pPr>
              <w:spacing w:after="40"/>
              <w:jc w:val="center"/>
            </w:pPr>
            <w:r>
              <w:rPr>
                <w:b/>
                <w:bCs/>
                <w:color w:val="1B1B1F"/>
                <w:sz w:val="20"/>
                <w:szCs w:val="20"/>
              </w:rPr>
              <w:t xml:space="preserve">1 hour</w:t>
            </w:r>
          </w:p>
        </w:tc>
      </w:tr>
      <w:tr>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P2 — High</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Successful prompt injection on internal system; near-miss on customer data; unapproved AI tool detected with Customer Code visible.</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4 hours</w:t>
            </w:r>
          </w:p>
        </w:tc>
      </w:tr>
      <w:tr>
        <w:tc>
          <w:tcPr>
            <w:tcMar>
              <w:top w:type="dxa" w:w="80"/>
              <w:left w:type="dxa" w:w="120"/>
              <w:bottom w:type="dxa" w:w="80"/>
              <w:right w:type="dxa" w:w="120"/>
            </w:tcMar>
          </w:tcPr>
          <w:p>
            <w:pPr>
              <w:spacing w:after="40"/>
              <w:jc w:val="center"/>
            </w:pPr>
            <w:r>
              <w:rPr>
                <w:b/>
                <w:bCs/>
                <w:color w:val="1B1B1F"/>
                <w:sz w:val="20"/>
                <w:szCs w:val="20"/>
              </w:rPr>
              <w:t xml:space="preserve">P3 — Medium</w:t>
            </w:r>
          </w:p>
        </w:tc>
        <w:tc>
          <w:tcPr>
            <w:tcMar>
              <w:top w:type="dxa" w:w="80"/>
              <w:left w:type="dxa" w:w="120"/>
              <w:bottom w:type="dxa" w:w="80"/>
              <w:right w:type="dxa" w:w="120"/>
            </w:tcMar>
          </w:tcPr>
          <w:p>
            <w:pPr>
              <w:spacing w:after="40"/>
              <w:jc w:val="left"/>
            </w:pPr>
            <w:r>
              <w:rPr>
                <w:b w:val="false"/>
                <w:bCs w:val="false"/>
                <w:color w:val="1B1B1F"/>
                <w:sz w:val="20"/>
                <w:szCs w:val="20"/>
              </w:rPr>
              <w:t xml:space="preserve">Unapproved AI tool detected with no data loss; AUP breach with limited impact; identity not removed within JML SLA.</w:t>
            </w:r>
          </w:p>
        </w:tc>
        <w:tc>
          <w:tcPr>
            <w:tcMar>
              <w:top w:type="dxa" w:w="80"/>
              <w:left w:type="dxa" w:w="120"/>
              <w:bottom w:type="dxa" w:w="80"/>
              <w:right w:type="dxa" w:w="120"/>
            </w:tcMar>
          </w:tcPr>
          <w:p>
            <w:pPr>
              <w:spacing w:after="40"/>
              <w:jc w:val="center"/>
            </w:pPr>
            <w:r>
              <w:rPr>
                <w:b/>
                <w:bCs/>
                <w:color w:val="1B1B1F"/>
                <w:sz w:val="20"/>
                <w:szCs w:val="20"/>
              </w:rPr>
              <w:t xml:space="preserve">1 business day</w:t>
            </w:r>
          </w:p>
        </w:tc>
      </w:tr>
      <w:tr>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P4 — Low</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Reported near-miss; AI suggestion warning ignored without consequence.</w:t>
            </w:r>
          </w:p>
        </w:tc>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5 business days</w:t>
            </w:r>
          </w:p>
        </w:tc>
      </w:tr>
    </w:tbl>
    <w:p>
      <w:pPr>
        <w:pStyle w:val="ListParagraph"/>
        <w:numPr>
          <w:ilvl w:val="0"/>
          <w:numId w:val="2"/>
        </w:numPr>
        <w:spacing w:after="80" w:line="280"/>
      </w:pPr>
      <w:r>
        <w:t xml:space="preserve">Notification channel: ai-incidents@[CUSTOMER DOMAIN] + the Customer's named relationship contact.</w:t>
      </w:r>
    </w:p>
    <w:p>
      <w:pPr>
        <w:pStyle w:val="ListParagraph"/>
        <w:numPr>
          <w:ilvl w:val="0"/>
          <w:numId w:val="2"/>
        </w:numPr>
        <w:spacing w:after="80" w:line="280"/>
      </w:pPr>
      <w:r>
        <w:t xml:space="preserve">Vendor cooperates with the Customer's AI Monitoring &amp; Incident Playbook, including post-incident review participation, evidence preservation and remediation.</w:t>
      </w:r>
    </w:p>
    <w:p>
      <w:pPr>
        <w:pStyle w:val="Heading1"/>
        <w:spacing w:after="160" w:before="360"/>
      </w:pPr>
      <w:r>
        <w:rPr>
          <w:b/>
          <w:bCs/>
          <w:color w:val="1F3864"/>
          <w:sz w:val="30"/>
          <w:szCs w:val="30"/>
        </w:rPr>
        <w:t xml:space="preserve">Schedule 6 — Customer AI Policies (References)</w:t>
      </w:r>
    </w:p>
    <w:p>
      <w:pPr>
        <w:spacing w:after="120" w:line="300"/>
      </w:pPr>
      <w:r>
        <w:t xml:space="preserve">The current versions of the Customer AI Policies referenced in this Addendum are:</w:t>
      </w:r>
    </w:p>
    <w:p>
      <w:pPr>
        <w:pStyle w:val="ListParagraph"/>
        <w:numPr>
          <w:ilvl w:val="0"/>
          <w:numId w:val="2"/>
        </w:numPr>
        <w:spacing w:after="80" w:line="280"/>
      </w:pPr>
      <w:r>
        <w:t xml:space="preserve">AI Acceptable Use Policy v1.0</w:t>
      </w:r>
    </w:p>
    <w:p>
      <w:pPr>
        <w:pStyle w:val="ListParagraph"/>
        <w:numPr>
          <w:ilvl w:val="0"/>
          <w:numId w:val="2"/>
        </w:numPr>
        <w:spacing w:after="80" w:line="280"/>
      </w:pPr>
      <w:r>
        <w:t xml:space="preserve">AI Governance Framework v1.0</w:t>
      </w:r>
    </w:p>
    <w:p>
      <w:pPr>
        <w:pStyle w:val="ListParagraph"/>
        <w:numPr>
          <w:ilvl w:val="0"/>
          <w:numId w:val="2"/>
        </w:numPr>
        <w:spacing w:after="80" w:line="280"/>
      </w:pPr>
      <w:r>
        <w:t xml:space="preserve">AI Control Register v1.0</w:t>
      </w:r>
    </w:p>
    <w:p>
      <w:pPr>
        <w:pStyle w:val="ListParagraph"/>
        <w:numPr>
          <w:ilvl w:val="0"/>
          <w:numId w:val="2"/>
        </w:numPr>
        <w:spacing w:after="80" w:line="280"/>
      </w:pPr>
      <w:r>
        <w:t xml:space="preserve">AI Monitoring &amp; Incident Playbook v1.0</w:t>
      </w:r>
    </w:p>
    <w:p>
      <w:pPr>
        <w:pStyle w:val="ListParagraph"/>
        <w:numPr>
          <w:ilvl w:val="0"/>
          <w:numId w:val="2"/>
        </w:numPr>
        <w:spacing w:after="80" w:line="280"/>
      </w:pPr>
      <w:r>
        <w:t xml:space="preserve">AI Vendor &amp; Third-Party DDQ v1.0</w:t>
      </w:r>
    </w:p>
    <w:p>
      <w:pPr>
        <w:spacing w:after="80"/>
      </w:pPr>
      <w:r>
        <w:rPr>
          <w:i/>
          <w:iCs/>
          <w:color w:val="5A5A66"/>
          <w:sz w:val="20"/>
          <w:szCs w:val="20"/>
        </w:rPr>
        <w:t xml:space="preserve">Available from the Customer's Information Security Policy library on request. Updates notified per clause 13.1.</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AI Tools Addendum  •  Template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AI Tools SOW Addendum v1.0</dc:title>
  <dc:creator>General Counsel + Procurement + Head of AI &amp; Automation</dc:creator>
  <cp:lastModifiedBy>Un-named</cp:lastModifiedBy>
  <cp:revision>1</cp:revision>
  <dcterms:created xsi:type="dcterms:W3CDTF">2026-04-24T01:42:32.556Z</dcterms:created>
  <dcterms:modified xsi:type="dcterms:W3CDTF">2026-04-24T01:42:32.556Z</dcterms:modified>
</cp:coreProperties>
</file>

<file path=docProps/custom.xml><?xml version="1.0" encoding="utf-8"?>
<Properties xmlns="http://schemas.openxmlformats.org/officeDocument/2006/custom-properties" xmlns:vt="http://schemas.openxmlformats.org/officeDocument/2006/docPropsVTypes"/>
</file>