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4"/>
          <w:szCs w:val="44"/>
        </w:rPr>
        <w:t xml:space="preserve">Vendor AI Acceleration Playbook</w:t>
      </w:r>
    </w:p>
    <w:p>
      <w:pPr>
        <w:spacing w:after="60"/>
        <w:jc w:val="center"/>
      </w:pPr>
      <w:r>
        <w:rPr>
          <w:b/>
          <w:bCs/>
          <w:color w:val="0F1F44"/>
          <w:sz w:val="22"/>
          <w:szCs w:val="22"/>
        </w:rPr>
        <w:t xml:space="preserve">How vendor development teams use AI coding tools, in a governed and controlled manner, to ship faster</w:t>
      </w:r>
    </w:p>
    <w:p>
      <w:pPr>
        <w:spacing w:after="40"/>
        <w:jc w:val="center"/>
      </w:pPr>
      <w:r>
        <w:rPr>
          <w:i/>
          <w:iCs/>
          <w:color w:val="5A5A66"/>
          <w:sz w:val="22"/>
          <w:szCs w:val="22"/>
        </w:rPr>
        <w:t xml:space="preserve">Fintech  •  Microsoft + AI Foundry  •  Africa  •  Staff-augmentation engagement model</w:t>
      </w:r>
    </w:p>
    <w:p>
      <w:pPr>
        <w:spacing w:after="280"/>
        <w:jc w:val="center"/>
      </w:pPr>
      <w:r>
        <w:rPr>
          <w:color w:val="5A5A66"/>
          <w:sz w:val="20"/>
          <w:szCs w:val="20"/>
        </w:rPr>
        <w:t xml:space="preserve">Version 1.0  •  Owner: Head of AI &amp; Automation + Head of Software Engineering  •  Classification: Internal</w:t>
      </w:r>
    </w:p>
    <w:p>
      <w:pPr>
        <w:pBdr>
          <w:bottom w:val="single" w:color="D9D9D9" w:sz="8" w:space="1"/>
        </w:pBdr>
      </w:pPr>
    </w:p>
    <w:p>
      <w:pPr>
        <w:pStyle w:val="Heading1"/>
        <w:spacing w:after="160" w:before="360"/>
      </w:pPr>
      <w:r>
        <w:rPr>
          <w:b/>
          <w:bCs/>
          <w:color w:val="1F3864"/>
          <w:sz w:val="30"/>
          <w:szCs w:val="30"/>
        </w:rPr>
        <w:t xml:space="preserve">Executive Summary</w:t>
      </w:r>
    </w:p>
    <w:p>
      <w:pPr>
        <w:spacing w:after="120" w:line="300"/>
      </w:pPr>
      <w:r>
        <w:t xml:space="preserve">This Playbook sets out how vendor development teams operating under staff-augmentation arrangements use AI coding tools — primarily GitHub Copilot Enterprise and Claude Code on Azure AI Foundry — to accelerate the delivery of code and features for the organisation.</w:t>
      </w:r>
    </w:p>
    <w:p>
      <w:pPr>
        <w:spacing w:after="120" w:line="300"/>
      </w:pPr>
      <w:r>
        <w:t xml:space="preserve">The premise is simple: under staff augmentation, vendor developers work as part of our teams, on our tickets, in our repositories. The same productivity uplift we want for internal engineers is available to them, and at lower marginal cost. But the trust boundary is different. Vendor personnel are not employees. The contracts that govern them, the controls applied to them, and the way we measure their output need to reflect that — not by treating them as suspects, but by being explicit about what is shared, what is permitted and what is not.</w:t>
      </w:r>
    </w:p>
    <w:p>
      <w:pPr>
        <w:spacing w:after="120" w:line="300"/>
      </w:pPr>
      <w:r>
        <w:t xml:space="preserve">Three commitments frame the approach.</w:t>
      </w:r>
    </w:p>
    <w:p>
      <w:pPr>
        <w:pBdr>
          <w:left w:val="single" w:color="1F3864" w:sz="16" w:space="8"/>
        </w:pBdr>
        <w:shd w:fill="F3F6FC" w:color="auto" w:val="clear"/>
        <w:spacing w:after="100" w:before="60"/>
      </w:pPr>
      <w:r>
        <w:rPr>
          <w:b/>
          <w:bCs/>
          <w:color w:val="1F3864"/>
          <w:sz w:val="20"/>
          <w:szCs w:val="20"/>
        </w:rPr>
        <w:t xml:space="preserve">Commitment 1 — </w:t>
      </w:r>
      <w:r>
        <w:rPr>
          <w:sz w:val="20"/>
          <w:szCs w:val="20"/>
        </w:rPr>
        <w:t xml:space="preserve">Vendor developers operating on our codebase use the AI tools we provide, signed in with identities we issue, on environments we control, and to the same Acceptable Use Policy our employees follow.</w:t>
      </w:r>
    </w:p>
    <w:p>
      <w:pPr>
        <w:pBdr>
          <w:left w:val="single" w:color="E2A72E" w:sz="16" w:space="8"/>
        </w:pBdr>
        <w:shd w:fill="F3F6FC" w:color="auto" w:val="clear"/>
        <w:spacing w:after="100" w:before="60"/>
      </w:pPr>
      <w:r>
        <w:rPr>
          <w:b/>
          <w:bCs/>
          <w:color w:val="E2A72E"/>
          <w:sz w:val="20"/>
          <w:szCs w:val="20"/>
        </w:rPr>
        <w:t xml:space="preserve">Commitment 2 — </w:t>
      </w:r>
      <w:r>
        <w:rPr>
          <w:sz w:val="20"/>
          <w:szCs w:val="20"/>
        </w:rPr>
        <w:t xml:space="preserve">Productivity gains from AI accrue to the organisation, not to vendor margin. Hourly-rate engagements are managed down. Fixed-scope engagements are rebased. The mechanism is in the SOW Addendum.</w:t>
      </w:r>
    </w:p>
    <w:p>
      <w:pPr>
        <w:pBdr>
          <w:left w:val="single" w:color="1F3864" w:sz="16" w:space="8"/>
        </w:pBdr>
        <w:shd w:fill="F3F6FC" w:color="auto" w:val="clear"/>
        <w:spacing w:after="100" w:before="60"/>
      </w:pPr>
      <w:r>
        <w:rPr>
          <w:b/>
          <w:bCs/>
          <w:color w:val="1F3864"/>
          <w:sz w:val="20"/>
          <w:szCs w:val="20"/>
        </w:rPr>
        <w:t xml:space="preserve">Commitment 3 — </w:t>
      </w:r>
      <w:r>
        <w:rPr>
          <w:sz w:val="20"/>
          <w:szCs w:val="20"/>
        </w:rPr>
        <w:t xml:space="preserve">Quality, security and IP standards are not relaxed because AI wrote the code. Vendor developers are accountable for what they commit; vendors are contractually accountable for what their developers ship.</w:t>
      </w:r>
    </w:p>
    <w:p>
      <w:pPr>
        <w:pStyle w:val="Heading1"/>
        <w:spacing w:after="160" w:before="360"/>
      </w:pPr>
      <w:r>
        <w:rPr>
          <w:b/>
          <w:bCs/>
          <w:color w:val="1F3864"/>
          <w:sz w:val="30"/>
          <w:szCs w:val="30"/>
        </w:rPr>
        <w:t xml:space="preserve">1. Purpose and Scope</w:t>
      </w:r>
    </w:p>
    <w:p>
      <w:pPr>
        <w:pStyle w:val="Heading2"/>
        <w:spacing w:after="120" w:before="240"/>
      </w:pPr>
      <w:r>
        <w:rPr>
          <w:b/>
          <w:bCs/>
          <w:color w:val="0F1F44"/>
          <w:sz w:val="24"/>
          <w:szCs w:val="24"/>
        </w:rPr>
        <w:t xml:space="preserve">1.1 Purpose</w:t>
      </w:r>
    </w:p>
    <w:p>
      <w:pPr>
        <w:spacing w:after="120" w:line="300"/>
      </w:pPr>
      <w:r>
        <w:t xml:space="preserve">To enable vendor development teams to use AI coding assistants productively and safely, with controls that match the staff-augmentation engagement model and contracts that capture the value of the productivity uplift.</w:t>
      </w:r>
    </w:p>
    <w:p>
      <w:pPr>
        <w:pStyle w:val="Heading2"/>
        <w:spacing w:after="120" w:before="240"/>
      </w:pPr>
      <w:r>
        <w:rPr>
          <w:b/>
          <w:bCs/>
          <w:color w:val="0F1F44"/>
          <w:sz w:val="24"/>
          <w:szCs w:val="24"/>
        </w:rPr>
        <w:t xml:space="preserve">1.2 Scope</w:t>
      </w:r>
    </w:p>
    <w:p>
      <w:pPr>
        <w:pStyle w:val="ListParagraph"/>
        <w:numPr>
          <w:ilvl w:val="0"/>
          <w:numId w:val="2"/>
        </w:numPr>
        <w:spacing w:after="80" w:line="280"/>
      </w:pPr>
      <w:r>
        <w:t xml:space="preserve">All vendor personnel placed with the organisation under staff-augmentation arrangements who write or review code on our codebase.</w:t>
      </w:r>
    </w:p>
    <w:p>
      <w:pPr>
        <w:pStyle w:val="ListParagraph"/>
        <w:numPr>
          <w:ilvl w:val="0"/>
          <w:numId w:val="2"/>
        </w:numPr>
        <w:spacing w:after="80" w:line="280"/>
      </w:pPr>
      <w:r>
        <w:t xml:space="preserve">All AI coding tools and AI-enabled development workflows used in the course of that work.</w:t>
      </w:r>
    </w:p>
    <w:p>
      <w:pPr>
        <w:pStyle w:val="ListParagraph"/>
        <w:numPr>
          <w:ilvl w:val="0"/>
          <w:numId w:val="2"/>
        </w:numPr>
        <w:spacing w:after="80" w:line="280"/>
      </w:pPr>
      <w:r>
        <w:t xml:space="preserve">Both off-shore and on-site delivery; both individual contractors via vendor and full vendor squads.</w:t>
      </w:r>
    </w:p>
    <w:p>
      <w:pPr>
        <w:pStyle w:val="Heading2"/>
        <w:spacing w:after="120" w:before="240"/>
      </w:pPr>
      <w:r>
        <w:rPr>
          <w:b/>
          <w:bCs/>
          <w:color w:val="0F1F44"/>
          <w:sz w:val="24"/>
          <w:szCs w:val="24"/>
        </w:rPr>
        <w:t xml:space="preserve">1.3 Out of scope (covered separately)</w:t>
      </w:r>
    </w:p>
    <w:p>
      <w:pPr>
        <w:pStyle w:val="ListParagraph"/>
        <w:numPr>
          <w:ilvl w:val="0"/>
          <w:numId w:val="2"/>
        </w:numPr>
        <w:spacing w:after="80" w:line="280"/>
      </w:pPr>
      <w:r>
        <w:t xml:space="preserve">Fixed-price SOW deliverables where a vendor delivers a feature for an agreed price — different commercial logic; addressed in a separate forthcoming guidance.</w:t>
      </w:r>
    </w:p>
    <w:p>
      <w:pPr>
        <w:pStyle w:val="ListParagraph"/>
        <w:numPr>
          <w:ilvl w:val="0"/>
          <w:numId w:val="2"/>
        </w:numPr>
        <w:spacing w:after="80" w:line="280"/>
      </w:pPr>
      <w:r>
        <w:t xml:space="preserve">Managed-service squads with vendor-owned tech leads — addressed separately.</w:t>
      </w:r>
    </w:p>
    <w:p>
      <w:pPr>
        <w:pStyle w:val="ListParagraph"/>
        <w:numPr>
          <w:ilvl w:val="0"/>
          <w:numId w:val="2"/>
        </w:numPr>
        <w:spacing w:after="80" w:line="280"/>
      </w:pPr>
      <w:r>
        <w:t xml:space="preserve">Internal-employee use of AI coding tools — covered in the GitHub Copilot Rollout Plan and the AI Acceptable Use Policy.</w:t>
      </w:r>
    </w:p>
    <w:p>
      <w:pPr>
        <w:pStyle w:val="Heading1"/>
        <w:spacing w:after="160" w:before="360"/>
      </w:pPr>
      <w:r>
        <w:rPr>
          <w:b/>
          <w:bCs/>
          <w:color w:val="1F3864"/>
          <w:sz w:val="30"/>
          <w:szCs w:val="30"/>
        </w:rPr>
        <w:t xml:space="preserve">2. The Opportunity and the Constraint</w:t>
      </w:r>
    </w:p>
    <w:p>
      <w:pPr>
        <w:spacing w:after="120" w:line="300"/>
      </w:pPr>
      <w:r>
        <w:t xml:space="preserve">Vendor staff augmentation is, by headcount, a significant share of our delivery capacity. A 10–20% productivity uplift across that population is one of the highest-leverage moves available — directly comparable to the case made for internal engineers in the GitHub Copilot Rollout Plan.</w:t>
      </w:r>
    </w:p>
    <w:p>
      <w:pPr>
        <w:spacing w:after="120" w:line="300"/>
      </w:pPr>
      <w:r>
        <w:t xml:space="preserve">The constraint is that vendor personnel are not employees. We do not control hiring, exit, equipment or training. We do contractually control how they work on our systems. AI tooling sits squarely on that line: we provision the tool, we enforce the policy, the vendor accepts the contractual terms, and the individual attests to the policy before access is granted.</w:t>
      </w:r>
    </w:p>
    <w:p>
      <w:pPr>
        <w:pStyle w:val="Heading1"/>
        <w:spacing w:after="160" w:before="360"/>
      </w:pPr>
      <w:r>
        <w:rPr>
          <w:b/>
          <w:bCs/>
          <w:color w:val="1F3864"/>
          <w:sz w:val="30"/>
          <w:szCs w:val="30"/>
        </w:rPr>
        <w:t xml:space="preserve">3. Operating Model — Staff Augmentation Specifics</w:t>
      </w:r>
    </w:p>
    <w:p>
      <w:pPr>
        <w:spacing w:after="120" w:line="300"/>
      </w:pPr>
      <w:r>
        <w:t xml:space="preserve">Under staff augmentation, the vendor developer is integrated into our team. They use our tickets, our repositories, our pipelines, our review process. The AI tooling fits the same pattern: ours.</w:t>
      </w:r>
    </w:p>
    <w:p>
      <w:pPr>
        <w:pStyle w:val="Heading2"/>
        <w:spacing w:after="120" w:before="240"/>
      </w:pPr>
      <w:r>
        <w:rPr>
          <w:b/>
          <w:bCs/>
          <w:color w:val="0F1F44"/>
          <w:sz w:val="24"/>
          <w:szCs w:val="24"/>
        </w:rPr>
        <w:t xml:space="preserve">3.1 Principles</w:t>
      </w:r>
    </w:p>
    <w:p>
      <w:pPr>
        <w:pStyle w:val="ListParagraph"/>
        <w:numPr>
          <w:ilvl w:val="0"/>
          <w:numId w:val="2"/>
        </w:numPr>
        <w:spacing w:after="80" w:line="280"/>
      </w:pPr>
      <w:r>
        <w:t xml:space="preserve">Single source of tooling. Vendor developers use the AI tools we provide. They do not use personal Copilot accounts, personal Claude / ChatGPT, or any vendor-provided AI tool on our codebase.</w:t>
      </w:r>
    </w:p>
    <w:p>
      <w:pPr>
        <w:pStyle w:val="ListParagraph"/>
        <w:numPr>
          <w:ilvl w:val="0"/>
          <w:numId w:val="2"/>
        </w:numPr>
        <w:spacing w:after="80" w:line="280"/>
      </w:pPr>
      <w:r>
        <w:t xml:space="preserve">Single identity. Vendor developers sign in with Entra ID identities issued by us, scoped to the engagement. No shared accounts, no service accounts.</w:t>
      </w:r>
    </w:p>
    <w:p>
      <w:pPr>
        <w:pStyle w:val="ListParagraph"/>
        <w:numPr>
          <w:ilvl w:val="0"/>
          <w:numId w:val="2"/>
        </w:numPr>
        <w:spacing w:after="80" w:line="280"/>
      </w:pPr>
      <w:r>
        <w:t xml:space="preserve">Single policy. The AI Acceptable Use Policy v1.0 binds vendor developers in the same way it binds employees, via attestation.</w:t>
      </w:r>
    </w:p>
    <w:p>
      <w:pPr>
        <w:pStyle w:val="ListParagraph"/>
        <w:numPr>
          <w:ilvl w:val="0"/>
          <w:numId w:val="2"/>
        </w:numPr>
        <w:spacing w:after="80" w:line="280"/>
      </w:pPr>
      <w:r>
        <w:t xml:space="preserve">Single environment. Vendor developers work on Microsoft Dev Box / Azure Deployment Environments where applicable; their personal laptops do not host our code.</w:t>
      </w:r>
    </w:p>
    <w:p>
      <w:pPr>
        <w:pStyle w:val="ListParagraph"/>
        <w:numPr>
          <w:ilvl w:val="0"/>
          <w:numId w:val="2"/>
        </w:numPr>
        <w:spacing w:after="80" w:line="280"/>
      </w:pPr>
      <w:r>
        <w:t xml:space="preserve">Single review process. AI-assisted code from a vendor developer goes through the same human review and pre-merge checks as any other code.</w:t>
      </w:r>
    </w:p>
    <w:p>
      <w:pPr>
        <w:pStyle w:val="ListParagraph"/>
        <w:numPr>
          <w:ilvl w:val="0"/>
          <w:numId w:val="2"/>
        </w:numPr>
        <w:spacing w:after="80" w:line="280"/>
      </w:pPr>
      <w:r>
        <w:t xml:space="preserve">Outcome-based commercial. We expect productivity uplift; we measure it; we rebase the engagement to capture the value (see §11).</w:t>
      </w:r>
    </w:p>
    <w:p>
      <w:pPr>
        <w:pStyle w:val="Heading2"/>
        <w:spacing w:after="120" w:before="240"/>
      </w:pPr>
      <w:r>
        <w:rPr>
          <w:b/>
          <w:bCs/>
          <w:color w:val="0F1F44"/>
          <w:sz w:val="24"/>
          <w:szCs w:val="24"/>
        </w:rPr>
        <w:t xml:space="preserve">3.2 What changes vs. internal engineers, and what doesn't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Dimension</w:t>
            </w:r>
          </w:p>
        </w:tc>
        <w:tc>
          <w:tcPr>
            <w:tcW w:type="pct" w:w="37%"/>
            <w:shd w:fill="1F3864" w:color="auto" w:val="clear"/>
            <w:tcMar>
              <w:top w:type="dxa" w:w="80"/>
              <w:left w:type="dxa" w:w="120"/>
              <w:bottom w:type="dxa" w:w="80"/>
              <w:right w:type="dxa" w:w="120"/>
            </w:tcMar>
          </w:tcPr>
          <w:p>
            <w:pPr>
              <w:spacing w:after="40"/>
              <w:jc w:val="left"/>
            </w:pPr>
            <w:r>
              <w:rPr>
                <w:b/>
                <w:bCs/>
                <w:color w:val="FFFFFF"/>
                <w:sz w:val="20"/>
                <w:szCs w:val="20"/>
              </w:rPr>
              <w:t xml:space="preserve">Internal engineers</w:t>
            </w:r>
          </w:p>
        </w:tc>
        <w:tc>
          <w:tcPr>
            <w:tcW w:type="pct" w:w="37%"/>
            <w:shd w:fill="1F3864" w:color="auto" w:val="clear"/>
            <w:tcMar>
              <w:top w:type="dxa" w:w="80"/>
              <w:left w:type="dxa" w:w="120"/>
              <w:bottom w:type="dxa" w:w="80"/>
              <w:right w:type="dxa" w:w="120"/>
            </w:tcMar>
          </w:tcPr>
          <w:p>
            <w:pPr>
              <w:spacing w:after="40"/>
              <w:jc w:val="left"/>
            </w:pPr>
            <w:r>
              <w:rPr>
                <w:b/>
                <w:bCs/>
                <w:color w:val="FFFFFF"/>
                <w:sz w:val="20"/>
                <w:szCs w:val="20"/>
              </w:rPr>
              <w:t xml:space="preserve">Vendor staff-aug developers</w:t>
            </w:r>
          </w:p>
        </w:tc>
      </w:tr>
      <w:tr>
        <w:tc>
          <w:tcPr>
            <w:tcMar>
              <w:top w:type="dxa" w:w="80"/>
              <w:left w:type="dxa" w:w="120"/>
              <w:bottom w:type="dxa" w:w="80"/>
              <w:right w:type="dxa" w:w="120"/>
            </w:tcMar>
          </w:tcPr>
          <w:p>
            <w:pPr>
              <w:spacing w:after="40"/>
              <w:jc w:val="left"/>
            </w:pPr>
            <w:r>
              <w:rPr>
                <w:b/>
                <w:bCs/>
                <w:color w:val="1B1B1F"/>
                <w:sz w:val="20"/>
                <w:szCs w:val="20"/>
              </w:rPr>
              <w:t xml:space="preserve">Tool provisioning</w:t>
            </w:r>
          </w:p>
        </w:tc>
        <w:tc>
          <w:tcPr>
            <w:tcMar>
              <w:top w:type="dxa" w:w="80"/>
              <w:left w:type="dxa" w:w="120"/>
              <w:bottom w:type="dxa" w:w="80"/>
              <w:right w:type="dxa" w:w="120"/>
            </w:tcMar>
          </w:tcPr>
          <w:p>
            <w:pPr>
              <w:spacing w:after="40"/>
              <w:jc w:val="left"/>
            </w:pPr>
            <w:r>
              <w:rPr>
                <w:b w:val="false"/>
                <w:bCs w:val="false"/>
                <w:color w:val="1B1B1F"/>
                <w:sz w:val="20"/>
                <w:szCs w:val="20"/>
              </w:rPr>
              <w:t xml:space="preserve">GitHub Copilot Enterprise seat under our EA.</w:t>
            </w:r>
          </w:p>
        </w:tc>
        <w:tc>
          <w:tcPr>
            <w:tcMar>
              <w:top w:type="dxa" w:w="80"/>
              <w:left w:type="dxa" w:w="120"/>
              <w:bottom w:type="dxa" w:w="80"/>
              <w:right w:type="dxa" w:w="120"/>
            </w:tcMar>
          </w:tcPr>
          <w:p>
            <w:pPr>
              <w:spacing w:after="40"/>
              <w:jc w:val="left"/>
            </w:pPr>
            <w:r>
              <w:rPr>
                <w:b w:val="false"/>
                <w:bCs w:val="false"/>
                <w:color w:val="1B1B1F"/>
                <w:sz w:val="20"/>
                <w:szCs w:val="20"/>
              </w:rPr>
              <w:t xml:space="preserve">Same — GitHub Copilot Enterprise seat under our EA, charged back to the engagement.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Identity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Entra ID employee account.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Entra ID guest / contractor account, scoped to the engagement, with auto-disable on exit.</w:t>
            </w:r>
          </w:p>
        </w:tc>
      </w:tr>
      <w:tr>
        <w:tc>
          <w:tcPr>
            <w:tcMar>
              <w:top w:type="dxa" w:w="80"/>
              <w:left w:type="dxa" w:w="120"/>
              <w:bottom w:type="dxa" w:w="80"/>
              <w:right w:type="dxa" w:w="120"/>
            </w:tcMar>
          </w:tcPr>
          <w:p>
            <w:pPr>
              <w:spacing w:after="40"/>
              <w:jc w:val="left"/>
            </w:pPr>
            <w:r>
              <w:rPr>
                <w:b/>
                <w:bCs/>
                <w:color w:val="1B1B1F"/>
                <w:sz w:val="20"/>
                <w:szCs w:val="20"/>
              </w:rPr>
              <w:t xml:space="preserve">Devices</w:t>
            </w:r>
          </w:p>
        </w:tc>
        <w:tc>
          <w:tcPr>
            <w:tcMar>
              <w:top w:type="dxa" w:w="80"/>
              <w:left w:type="dxa" w:w="120"/>
              <w:bottom w:type="dxa" w:w="80"/>
              <w:right w:type="dxa" w:w="120"/>
            </w:tcMar>
          </w:tcPr>
          <w:p>
            <w:pPr>
              <w:spacing w:after="40"/>
              <w:jc w:val="left"/>
            </w:pPr>
            <w:r>
              <w:rPr>
                <w:b w:val="false"/>
                <w:bCs w:val="false"/>
                <w:color w:val="1B1B1F"/>
                <w:sz w:val="20"/>
                <w:szCs w:val="20"/>
              </w:rPr>
              <w:t xml:space="preserve">Managed laptop.</w:t>
            </w:r>
          </w:p>
        </w:tc>
        <w:tc>
          <w:tcPr>
            <w:tcMar>
              <w:top w:type="dxa" w:w="80"/>
              <w:left w:type="dxa" w:w="120"/>
              <w:bottom w:type="dxa" w:w="80"/>
              <w:right w:type="dxa" w:w="120"/>
            </w:tcMar>
          </w:tcPr>
          <w:p>
            <w:pPr>
              <w:spacing w:after="40"/>
              <w:jc w:val="left"/>
            </w:pPr>
            <w:r>
              <w:rPr>
                <w:b w:val="false"/>
                <w:bCs w:val="false"/>
                <w:color w:val="1B1B1F"/>
                <w:sz w:val="20"/>
                <w:szCs w:val="20"/>
              </w:rPr>
              <w:t xml:space="preserve">Microsoft Dev Box where possible; vendor managed laptop with our MDM where Dev Box is not viable.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Policy binding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AUP signed as a workplace policy.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AUP attested individually + flowed down via SOW Addendum to the vendor.</w:t>
            </w:r>
          </w:p>
        </w:tc>
      </w:tr>
      <w:tr>
        <w:tc>
          <w:tcPr>
            <w:tcMar>
              <w:top w:type="dxa" w:w="80"/>
              <w:left w:type="dxa" w:w="120"/>
              <w:bottom w:type="dxa" w:w="80"/>
              <w:right w:type="dxa" w:w="120"/>
            </w:tcMar>
          </w:tcPr>
          <w:p>
            <w:pPr>
              <w:spacing w:after="40"/>
              <w:jc w:val="left"/>
            </w:pPr>
            <w:r>
              <w:rPr>
                <w:b/>
                <w:bCs/>
                <w:color w:val="1B1B1F"/>
                <w:sz w:val="20"/>
                <w:szCs w:val="20"/>
              </w:rPr>
              <w:t xml:space="preserve">Review process</w:t>
            </w:r>
          </w:p>
        </w:tc>
        <w:tc>
          <w:tcPr>
            <w:tcMar>
              <w:top w:type="dxa" w:w="80"/>
              <w:left w:type="dxa" w:w="120"/>
              <w:bottom w:type="dxa" w:w="80"/>
              <w:right w:type="dxa" w:w="120"/>
            </w:tcMar>
          </w:tcPr>
          <w:p>
            <w:pPr>
              <w:spacing w:after="40"/>
              <w:jc w:val="left"/>
            </w:pPr>
            <w:r>
              <w:rPr>
                <w:b w:val="false"/>
                <w:bCs w:val="false"/>
                <w:color w:val="1B1B1F"/>
                <w:sz w:val="20"/>
                <w:szCs w:val="20"/>
              </w:rPr>
              <w:t xml:space="preserve">Human reviewer + GHAS + Copilot Code Review.</w:t>
            </w:r>
          </w:p>
        </w:tc>
        <w:tc>
          <w:tcPr>
            <w:tcMar>
              <w:top w:type="dxa" w:w="80"/>
              <w:left w:type="dxa" w:w="120"/>
              <w:bottom w:type="dxa" w:w="80"/>
              <w:right w:type="dxa" w:w="120"/>
            </w:tcMar>
          </w:tcPr>
          <w:p>
            <w:pPr>
              <w:spacing w:after="40"/>
              <w:jc w:val="left"/>
            </w:pPr>
            <w:r>
              <w:rPr>
                <w:b w:val="false"/>
                <w:bCs w:val="false"/>
                <w:color w:val="1B1B1F"/>
                <w:sz w:val="20"/>
                <w:szCs w:val="20"/>
              </w:rPr>
              <w:t xml:space="preserve">Same — no relaxation. Branch protection enforces it regardless of who pushed.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Productivity capture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Engineering capacity uplift.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Hourly-rate reduction; fewer billed hours per delivery; or fixed-scope rebasing.</w:t>
            </w:r>
          </w:p>
        </w:tc>
      </w:tr>
      <w:tr>
        <w:tc>
          <w:tcPr>
            <w:tcMar>
              <w:top w:type="dxa" w:w="80"/>
              <w:left w:type="dxa" w:w="120"/>
              <w:bottom w:type="dxa" w:w="80"/>
              <w:right w:type="dxa" w:w="120"/>
            </w:tcMar>
          </w:tcPr>
          <w:p>
            <w:pPr>
              <w:spacing w:after="40"/>
              <w:jc w:val="left"/>
            </w:pPr>
            <w:r>
              <w:rPr>
                <w:b/>
                <w:bCs/>
                <w:color w:val="1B1B1F"/>
                <w:sz w:val="20"/>
                <w:szCs w:val="20"/>
              </w:rPr>
              <w:t xml:space="preserve">Exit</w:t>
            </w:r>
          </w:p>
        </w:tc>
        <w:tc>
          <w:tcPr>
            <w:tcMar>
              <w:top w:type="dxa" w:w="80"/>
              <w:left w:type="dxa" w:w="120"/>
              <w:bottom w:type="dxa" w:w="80"/>
              <w:right w:type="dxa" w:w="120"/>
            </w:tcMar>
          </w:tcPr>
          <w:p>
            <w:pPr>
              <w:spacing w:after="40"/>
              <w:jc w:val="left"/>
            </w:pPr>
            <w:r>
              <w:rPr>
                <w:b w:val="false"/>
                <w:bCs w:val="false"/>
                <w:color w:val="1B1B1F"/>
                <w:sz w:val="20"/>
                <w:szCs w:val="20"/>
              </w:rPr>
              <w:t xml:space="preserve">HR offboarding.</w:t>
            </w:r>
          </w:p>
        </w:tc>
        <w:tc>
          <w:tcPr>
            <w:tcMar>
              <w:top w:type="dxa" w:w="80"/>
              <w:left w:type="dxa" w:w="120"/>
              <w:bottom w:type="dxa" w:w="80"/>
              <w:right w:type="dxa" w:w="120"/>
            </w:tcMar>
          </w:tcPr>
          <w:p>
            <w:pPr>
              <w:spacing w:after="40"/>
              <w:jc w:val="left"/>
            </w:pPr>
            <w:r>
              <w:rPr>
                <w:b w:val="false"/>
                <w:bCs w:val="false"/>
                <w:color w:val="1B1B1F"/>
                <w:sz w:val="20"/>
                <w:szCs w:val="20"/>
              </w:rPr>
              <w:t xml:space="preserve">Auto-disable on engagement end-date; access review on rotation; standing JML feed from vendor required.</w:t>
            </w:r>
          </w:p>
        </w:tc>
      </w:tr>
    </w:tbl>
    <w:p>
      <w:pPr>
        <w:pStyle w:val="Heading1"/>
        <w:spacing w:after="160" w:before="360"/>
      </w:pPr>
      <w:r>
        <w:rPr>
          <w:b/>
          <w:bCs/>
          <w:color w:val="1F3864"/>
          <w:sz w:val="30"/>
          <w:szCs w:val="30"/>
        </w:rPr>
        <w:t xml:space="preserve">4. Tooling</w:t>
      </w:r>
    </w:p>
    <w:p>
      <w:pPr>
        <w:spacing w:after="120" w:line="300"/>
      </w:pPr>
      <w:r>
        <w:t xml:space="preserve">Tooling for vendor developers mirrors the internal stack, with two notable differences: identity provisioning and Dev Box-first device strategy.</w:t>
      </w:r>
    </w:p>
    <w:p>
      <w:pPr>
        <w:pStyle w:val="Heading2"/>
        <w:spacing w:after="120" w:before="240"/>
      </w:pPr>
      <w:r>
        <w:rPr>
          <w:b/>
          <w:bCs/>
          <w:color w:val="0F1F44"/>
          <w:sz w:val="24"/>
          <w:szCs w:val="24"/>
        </w:rPr>
        <w:t xml:space="preserve">4.1 Approved AI tools for vendor developers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Use</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Provisioned by</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 + GHAS</w:t>
            </w:r>
          </w:p>
        </w:tc>
        <w:tc>
          <w:tcPr>
            <w:tcMar>
              <w:top w:type="dxa" w:w="80"/>
              <w:left w:type="dxa" w:w="120"/>
              <w:bottom w:type="dxa" w:w="80"/>
              <w:right w:type="dxa" w:w="120"/>
            </w:tcMar>
          </w:tcPr>
          <w:p>
            <w:pPr>
              <w:spacing w:after="40"/>
              <w:jc w:val="left"/>
            </w:pPr>
            <w:r>
              <w:rPr>
                <w:b w:val="false"/>
                <w:bCs w:val="false"/>
                <w:color w:val="1B1B1F"/>
                <w:sz w:val="20"/>
                <w:szCs w:val="20"/>
              </w:rPr>
              <w:t xml:space="preserve">Code generation, review, autofix, code scanning. Default tool for vendor developers.</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(us)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Code on Azure AI Foundry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Available to vendor developers in the parallel-pilot cohort, on the same terms as internal engineers.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 (us)</w:t>
            </w:r>
          </w:p>
        </w:tc>
      </w:tr>
      <w:tr>
        <w:tc>
          <w:tcPr>
            <w:tcMar>
              <w:top w:type="dxa" w:w="80"/>
              <w:left w:type="dxa" w:w="120"/>
              <w:bottom w:type="dxa" w:w="80"/>
              <w:right w:type="dxa" w:w="120"/>
            </w:tcMar>
          </w:tcPr>
          <w:p>
            <w:pPr>
              <w:spacing w:after="40"/>
              <w:jc w:val="left"/>
            </w:pPr>
            <w:r>
              <w:rPr>
                <w:b/>
                <w:bCs/>
                <w:color w:val="1B1B1F"/>
                <w:sz w:val="20"/>
                <w:szCs w:val="20"/>
              </w:rPr>
              <w:t xml:space="preserve">Microsoft 365 Copilot</w:t>
            </w:r>
          </w:p>
        </w:tc>
        <w:tc>
          <w:tcPr>
            <w:tcMar>
              <w:top w:type="dxa" w:w="80"/>
              <w:left w:type="dxa" w:w="120"/>
              <w:bottom w:type="dxa" w:w="80"/>
              <w:right w:type="dxa" w:w="120"/>
            </w:tcMar>
          </w:tcPr>
          <w:p>
            <w:pPr>
              <w:spacing w:after="40"/>
              <w:jc w:val="left"/>
            </w:pPr>
            <w:r>
              <w:rPr>
                <w:b w:val="false"/>
                <w:bCs w:val="false"/>
                <w:color w:val="1B1B1F"/>
                <w:sz w:val="20"/>
                <w:szCs w:val="20"/>
              </w:rPr>
              <w:t xml:space="preserve">Only if the vendor developer is licensed under our M365 tenant for the engagement; not the default.</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(us)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Only with explicit use-case approval; not part of the default vendor-developer profile.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 (us)</w:t>
            </w:r>
          </w:p>
        </w:tc>
      </w:tr>
    </w:tbl>
    <w:p>
      <w:pPr>
        <w:pStyle w:val="Heading2"/>
        <w:spacing w:after="120" w:before="240"/>
      </w:pPr>
      <w:r>
        <w:rPr>
          <w:b/>
          <w:bCs/>
          <w:color w:val="0F1F44"/>
          <w:sz w:val="24"/>
          <w:szCs w:val="24"/>
        </w:rPr>
        <w:t xml:space="preserve">4.2 Prohibited</w:t>
      </w:r>
    </w:p>
    <w:p>
      <w:pPr>
        <w:pStyle w:val="ListParagraph"/>
        <w:numPr>
          <w:ilvl w:val="0"/>
          <w:numId w:val="2"/>
        </w:numPr>
        <w:spacing w:after="80" w:line="280"/>
      </w:pPr>
      <w:r>
        <w:t xml:space="preserve">Personal Copilot, personal Claude / ChatGPT / Gemini / any consumer AI account on our code, in our IDE, or on our managed device.</w:t>
      </w:r>
    </w:p>
    <w:p>
      <w:pPr>
        <w:pStyle w:val="ListParagraph"/>
        <w:numPr>
          <w:ilvl w:val="0"/>
          <w:numId w:val="2"/>
        </w:numPr>
        <w:spacing w:after="80" w:line="280"/>
      </w:pPr>
      <w:r>
        <w:t xml:space="preserve">Vendor-provided AI tools (Copilot alternatives, code-review bots, AI-enabled IDEs) on our code without explicit approval via the Vendor DDQ + Council intake.</w:t>
      </w:r>
    </w:p>
    <w:p>
      <w:pPr>
        <w:pStyle w:val="ListParagraph"/>
        <w:numPr>
          <w:ilvl w:val="0"/>
          <w:numId w:val="2"/>
        </w:numPr>
        <w:spacing w:after="80" w:line="280"/>
      </w:pPr>
      <w:r>
        <w:t xml:space="preserve">Pasting our code into any AI surface other than the approved tools, including for the purpose of asking the model a question.</w:t>
      </w:r>
    </w:p>
    <w:p>
      <w:pPr>
        <w:pStyle w:val="ListParagraph"/>
        <w:numPr>
          <w:ilvl w:val="0"/>
          <w:numId w:val="2"/>
        </w:numPr>
        <w:spacing w:after="80" w:line="280"/>
      </w:pPr>
      <w:r>
        <w:t xml:space="preserve">Using AI tools through a browser plugin, browser extension, IDE extension or terminal wrapper that is not part of the approved-tool stack.</w:t>
      </w:r>
    </w:p>
    <w:p>
      <w:pPr>
        <w:pStyle w:val="Heading2"/>
        <w:spacing w:after="120" w:before="240"/>
      </w:pPr>
      <w:r>
        <w:rPr>
          <w:b/>
          <w:bCs/>
          <w:color w:val="0F1F44"/>
          <w:sz w:val="24"/>
          <w:szCs w:val="24"/>
        </w:rPr>
        <w:t xml:space="preserve">4.3 Devices</w:t>
      </w:r>
    </w:p>
    <w:p>
      <w:pPr>
        <w:pStyle w:val="ListParagraph"/>
        <w:numPr>
          <w:ilvl w:val="0"/>
          <w:numId w:val="2"/>
        </w:numPr>
        <w:spacing w:after="80" w:line="280"/>
      </w:pPr>
      <w:r>
        <w:t xml:space="preserve">Default: Microsoft Dev Box, with Visual Studio / IntelliJ / VS Code pre-configured, GitHub Copilot Enterprise enabled, no local code persistence, auto-stop in off-hours.</w:t>
      </w:r>
    </w:p>
    <w:p>
      <w:pPr>
        <w:pStyle w:val="ListParagraph"/>
        <w:numPr>
          <w:ilvl w:val="0"/>
          <w:numId w:val="2"/>
        </w:numPr>
        <w:spacing w:after="80" w:line="280"/>
      </w:pPr>
      <w:r>
        <w:t xml:space="preserve">Where Dev Box is not viable (specific tooling, performance): vendor-managed laptop enrolled in our Intune; full disk encryption; only approved IDE extensions.</w:t>
      </w:r>
    </w:p>
    <w:p>
      <w:pPr>
        <w:pStyle w:val="ListParagraph"/>
        <w:numPr>
          <w:ilvl w:val="0"/>
          <w:numId w:val="2"/>
        </w:numPr>
        <w:spacing w:after="80" w:line="280"/>
      </w:pPr>
      <w:r>
        <w:t xml:space="preserve">Personal devices: never. No exceptions for staff-aug arrangements.</w:t>
      </w:r>
    </w:p>
    <w:p>
      <w:pPr>
        <w:pStyle w:val="Heading1"/>
        <w:spacing w:after="160" w:before="360"/>
      </w:pPr>
      <w:r>
        <w:rPr>
          <w:b/>
          <w:bCs/>
          <w:color w:val="1F3864"/>
          <w:sz w:val="30"/>
          <w:szCs w:val="30"/>
        </w:rPr>
        <w:t xml:space="preserve">5. Vendor Developer Onboarding Flow</w:t>
      </w:r>
    </w:p>
    <w:p>
      <w:pPr>
        <w:spacing w:after="120" w:line="300"/>
      </w:pPr>
      <w:r>
        <w:t xml:space="preserve">A new vendor developer reaches a productive AI-enabled state inside 5 working days from contract signature. The process is standardised so any new vendor squad can be stood up against the same runbook.</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Day</w:t>
            </w:r>
          </w:p>
        </w:tc>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Step</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What happens</w:t>
            </w:r>
          </w:p>
        </w:tc>
        <w:tc>
          <w:tcPr>
            <w:tcW w:type="pct" w:w="14%"/>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r>
      <w:tr>
        <w:tc>
          <w:tcPr>
            <w:tcMar>
              <w:top w:type="dxa" w:w="80"/>
              <w:left w:type="dxa" w:w="120"/>
              <w:bottom w:type="dxa" w:w="80"/>
              <w:right w:type="dxa" w:w="120"/>
            </w:tcMar>
          </w:tcPr>
          <w:p>
            <w:pPr>
              <w:spacing w:after="40"/>
              <w:jc w:val="center"/>
            </w:pPr>
            <w:r>
              <w:rPr>
                <w:b/>
                <w:bCs/>
                <w:color w:val="1B1B1F"/>
                <w:sz w:val="20"/>
                <w:szCs w:val="20"/>
              </w:rPr>
              <w:t xml:space="preserve">T-5</w:t>
            </w:r>
          </w:p>
        </w:tc>
        <w:tc>
          <w:tcPr>
            <w:tcMar>
              <w:top w:type="dxa" w:w="80"/>
              <w:left w:type="dxa" w:w="120"/>
              <w:bottom w:type="dxa" w:w="80"/>
              <w:right w:type="dxa" w:w="120"/>
            </w:tcMar>
          </w:tcPr>
          <w:p>
            <w:pPr>
              <w:spacing w:after="40"/>
              <w:jc w:val="left"/>
            </w:pPr>
            <w:r>
              <w:rPr>
                <w:b w:val="false"/>
                <w:bCs w:val="false"/>
                <w:color w:val="1B1B1F"/>
                <w:sz w:val="20"/>
                <w:szCs w:val="20"/>
              </w:rPr>
              <w:t xml:space="preserve">SOW Addendum signed</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signs the AI Addendum to the master agreement (or SOW). Per-individual schedule attached.</w:t>
            </w:r>
          </w:p>
        </w:tc>
        <w:tc>
          <w:tcPr>
            <w:tcMar>
              <w:top w:type="dxa" w:w="80"/>
              <w:left w:type="dxa" w:w="120"/>
              <w:bottom w:type="dxa" w:w="80"/>
              <w:right w:type="dxa" w:w="120"/>
            </w:tcMar>
          </w:tcPr>
          <w:p>
            <w:pPr>
              <w:spacing w:after="40"/>
              <w:jc w:val="left"/>
            </w:pPr>
            <w:r>
              <w:rPr>
                <w:b w:val="false"/>
                <w:bCs w:val="false"/>
                <w:color w:val="1B1B1F"/>
                <w:sz w:val="20"/>
                <w:szCs w:val="20"/>
              </w:rPr>
              <w:t xml:space="preserve">Procurement + GC</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T-3</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Identity provisioning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Entra ID guest account created with engagement-scoped role; access expiry set to engagement end-date.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IAM</w:t>
            </w:r>
          </w:p>
        </w:tc>
      </w:tr>
      <w:tr>
        <w:tc>
          <w:tcPr>
            <w:tcMar>
              <w:top w:type="dxa" w:w="80"/>
              <w:left w:type="dxa" w:w="120"/>
              <w:bottom w:type="dxa" w:w="80"/>
              <w:right w:type="dxa" w:w="120"/>
            </w:tcMar>
          </w:tcPr>
          <w:p>
            <w:pPr>
              <w:spacing w:after="40"/>
              <w:jc w:val="center"/>
            </w:pPr>
            <w:r>
              <w:rPr>
                <w:b/>
                <w:bCs/>
                <w:color w:val="1B1B1F"/>
                <w:sz w:val="20"/>
                <w:szCs w:val="20"/>
              </w:rPr>
              <w:t xml:space="preserve">Day 1</w:t>
            </w:r>
          </w:p>
        </w:tc>
        <w:tc>
          <w:tcPr>
            <w:tcMar>
              <w:top w:type="dxa" w:w="80"/>
              <w:left w:type="dxa" w:w="120"/>
              <w:bottom w:type="dxa" w:w="80"/>
              <w:right w:type="dxa" w:w="120"/>
            </w:tcMar>
          </w:tcPr>
          <w:p>
            <w:pPr>
              <w:spacing w:after="40"/>
              <w:jc w:val="left"/>
            </w:pPr>
            <w:r>
              <w:rPr>
                <w:b w:val="false"/>
                <w:bCs w:val="false"/>
                <w:color w:val="1B1B1F"/>
                <w:sz w:val="20"/>
                <w:szCs w:val="20"/>
              </w:rPr>
              <w:t xml:space="preserve">AUP attestation</w:t>
            </w:r>
          </w:p>
        </w:tc>
        <w:tc>
          <w:tcPr>
            <w:tcMar>
              <w:top w:type="dxa" w:w="80"/>
              <w:left w:type="dxa" w:w="120"/>
              <w:bottom w:type="dxa" w:w="80"/>
              <w:right w:type="dxa" w:w="120"/>
            </w:tcMar>
          </w:tcPr>
          <w:p>
            <w:pPr>
              <w:spacing w:after="40"/>
              <w:jc w:val="left"/>
            </w:pPr>
            <w:r>
              <w:rPr>
                <w:b w:val="false"/>
                <w:bCs w:val="false"/>
                <w:color w:val="1B1B1F"/>
                <w:sz w:val="20"/>
                <w:szCs w:val="20"/>
              </w:rPr>
              <w:t xml:space="preserve">Individual reads and signs the AI Acceptable Use Policy via HRIS / vendor portal. Recorded against name and engagement.</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 + HR</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Day 1</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Tool entitlement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GitHub Copilot Enterprise + GHAS seat assigned. Repository access provisioned per engagement scope (least privilege).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DevEx + AppSec</w:t>
            </w:r>
          </w:p>
        </w:tc>
      </w:tr>
      <w:tr>
        <w:tc>
          <w:tcPr>
            <w:tcMar>
              <w:top w:type="dxa" w:w="80"/>
              <w:left w:type="dxa" w:w="120"/>
              <w:bottom w:type="dxa" w:w="80"/>
              <w:right w:type="dxa" w:w="120"/>
            </w:tcMar>
          </w:tcPr>
          <w:p>
            <w:pPr>
              <w:spacing w:after="40"/>
              <w:jc w:val="center"/>
            </w:pPr>
            <w:r>
              <w:rPr>
                <w:b/>
                <w:bCs/>
                <w:color w:val="1B1B1F"/>
                <w:sz w:val="20"/>
                <w:szCs w:val="20"/>
              </w:rPr>
              <w:t xml:space="preserve">Day 2</w:t>
            </w:r>
          </w:p>
        </w:tc>
        <w:tc>
          <w:tcPr>
            <w:tcMar>
              <w:top w:type="dxa" w:w="80"/>
              <w:left w:type="dxa" w:w="120"/>
              <w:bottom w:type="dxa" w:w="80"/>
              <w:right w:type="dxa" w:w="120"/>
            </w:tcMar>
          </w:tcPr>
          <w:p>
            <w:pPr>
              <w:spacing w:after="40"/>
              <w:jc w:val="left"/>
            </w:pPr>
            <w:r>
              <w:rPr>
                <w:b w:val="false"/>
                <w:bCs w:val="false"/>
                <w:color w:val="1B1B1F"/>
                <w:sz w:val="20"/>
                <w:szCs w:val="20"/>
              </w:rPr>
              <w:t xml:space="preserve">Dev Box ready</w:t>
            </w:r>
          </w:p>
        </w:tc>
        <w:tc>
          <w:tcPr>
            <w:tcMar>
              <w:top w:type="dxa" w:w="80"/>
              <w:left w:type="dxa" w:w="120"/>
              <w:bottom w:type="dxa" w:w="80"/>
              <w:right w:type="dxa" w:w="120"/>
            </w:tcMar>
          </w:tcPr>
          <w:p>
            <w:pPr>
              <w:spacing w:after="40"/>
              <w:jc w:val="left"/>
            </w:pPr>
            <w:r>
              <w:rPr>
                <w:b w:val="false"/>
                <w:bCs w:val="false"/>
                <w:color w:val="1B1B1F"/>
                <w:sz w:val="20"/>
                <w:szCs w:val="20"/>
              </w:rPr>
              <w:t xml:space="preserve">Dev Box image provisioned; SSH keys / certs in Key Vault; first-time login confirms config.</w:t>
            </w:r>
          </w:p>
        </w:tc>
        <w:tc>
          <w:tcPr>
            <w:tcMar>
              <w:top w:type="dxa" w:w="80"/>
              <w:left w:type="dxa" w:w="120"/>
              <w:bottom w:type="dxa" w:w="80"/>
              <w:right w:type="dxa" w:w="120"/>
            </w:tcMar>
          </w:tcPr>
          <w:p>
            <w:pPr>
              <w:spacing w:after="40"/>
              <w:jc w:val="left"/>
            </w:pPr>
            <w:r>
              <w:rPr>
                <w:b w:val="false"/>
                <w:bCs w:val="false"/>
                <w:color w:val="1B1B1F"/>
                <w:sz w:val="20"/>
                <w:szCs w:val="20"/>
              </w:rPr>
              <w:t xml:space="preserve">Platform Eng</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Day 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Training module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developer completes the 90-minute AI-Coding-for-Vendors module: tool basics, AUP, security do-and-don't, productivity expectations.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L&amp;D</w:t>
            </w:r>
          </w:p>
        </w:tc>
      </w:tr>
      <w:tr>
        <w:tc>
          <w:tcPr>
            <w:tcMar>
              <w:top w:type="dxa" w:w="80"/>
              <w:left w:type="dxa" w:w="120"/>
              <w:bottom w:type="dxa" w:w="80"/>
              <w:right w:type="dxa" w:w="120"/>
            </w:tcMar>
          </w:tcPr>
          <w:p>
            <w:pPr>
              <w:spacing w:after="40"/>
              <w:jc w:val="center"/>
            </w:pPr>
            <w:r>
              <w:rPr>
                <w:b/>
                <w:bCs/>
                <w:color w:val="1B1B1F"/>
                <w:sz w:val="20"/>
                <w:szCs w:val="20"/>
              </w:rPr>
              <w:t xml:space="preserve">Day 3</w:t>
            </w:r>
          </w:p>
        </w:tc>
        <w:tc>
          <w:tcPr>
            <w:tcMar>
              <w:top w:type="dxa" w:w="80"/>
              <w:left w:type="dxa" w:w="120"/>
              <w:bottom w:type="dxa" w:w="80"/>
              <w:right w:type="dxa" w:w="120"/>
            </w:tcMar>
          </w:tcPr>
          <w:p>
            <w:pPr>
              <w:spacing w:after="40"/>
              <w:jc w:val="left"/>
            </w:pPr>
            <w:r>
              <w:rPr>
                <w:b w:val="false"/>
                <w:bCs w:val="false"/>
                <w:color w:val="1B1B1F"/>
                <w:sz w:val="20"/>
                <w:szCs w:val="20"/>
              </w:rPr>
              <w:t xml:space="preserve">Pair onboarding</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developer pair-codes with an internal engineer or vendor tech lead on a small ticket; demonstrates familiarity with review process.</w:t>
            </w:r>
          </w:p>
        </w:tc>
        <w:tc>
          <w:tcPr>
            <w:tcMar>
              <w:top w:type="dxa" w:w="80"/>
              <w:left w:type="dxa" w:w="120"/>
              <w:bottom w:type="dxa" w:w="80"/>
              <w:right w:type="dxa" w:w="120"/>
            </w:tcMar>
          </w:tcPr>
          <w:p>
            <w:pPr>
              <w:spacing w:after="40"/>
              <w:jc w:val="left"/>
            </w:pPr>
            <w:r>
              <w:rPr>
                <w:b w:val="false"/>
                <w:bCs w:val="false"/>
                <w:color w:val="1B1B1F"/>
                <w:sz w:val="20"/>
                <w:szCs w:val="20"/>
              </w:rPr>
              <w:t xml:space="preserve">Squad lead</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Day 4</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First PR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developer raises their first PR through the standard process; reviewer confirms compliance with branch protection and security checks.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Squad lead</w:t>
            </w:r>
          </w:p>
        </w:tc>
      </w:tr>
      <w:tr>
        <w:tc>
          <w:tcPr>
            <w:tcMar>
              <w:top w:type="dxa" w:w="80"/>
              <w:left w:type="dxa" w:w="120"/>
              <w:bottom w:type="dxa" w:w="80"/>
              <w:right w:type="dxa" w:w="120"/>
            </w:tcMar>
          </w:tcPr>
          <w:p>
            <w:pPr>
              <w:spacing w:after="40"/>
              <w:jc w:val="center"/>
            </w:pPr>
            <w:r>
              <w:rPr>
                <w:b/>
                <w:bCs/>
                <w:color w:val="1B1B1F"/>
                <w:sz w:val="20"/>
                <w:szCs w:val="20"/>
              </w:rPr>
              <w:t xml:space="preserve">Day 5</w:t>
            </w:r>
          </w:p>
        </w:tc>
        <w:tc>
          <w:tcPr>
            <w:tcMar>
              <w:top w:type="dxa" w:w="80"/>
              <w:left w:type="dxa" w:w="120"/>
              <w:bottom w:type="dxa" w:w="80"/>
              <w:right w:type="dxa" w:w="120"/>
            </w:tcMar>
          </w:tcPr>
          <w:p>
            <w:pPr>
              <w:spacing w:after="40"/>
              <w:jc w:val="left"/>
            </w:pPr>
            <w:r>
              <w:rPr>
                <w:b w:val="false"/>
                <w:bCs w:val="false"/>
                <w:color w:val="1B1B1F"/>
                <w:sz w:val="20"/>
                <w:szCs w:val="20"/>
              </w:rPr>
              <w:t xml:space="preserve">Confirmed live</w:t>
            </w:r>
          </w:p>
        </w:tc>
        <w:tc>
          <w:tcPr>
            <w:tcMar>
              <w:top w:type="dxa" w:w="80"/>
              <w:left w:type="dxa" w:w="120"/>
              <w:bottom w:type="dxa" w:w="80"/>
              <w:right w:type="dxa" w:w="120"/>
            </w:tcMar>
          </w:tcPr>
          <w:p>
            <w:pPr>
              <w:spacing w:after="40"/>
              <w:jc w:val="left"/>
            </w:pPr>
            <w:r>
              <w:rPr>
                <w:b w:val="false"/>
                <w:bCs w:val="false"/>
                <w:color w:val="1B1B1F"/>
                <w:sz w:val="20"/>
                <w:szCs w:val="20"/>
              </w:rPr>
              <w:t xml:space="preserve">Engagement onboarding considered complete; vendor developer joins normal sprint cadence.</w:t>
            </w:r>
          </w:p>
        </w:tc>
        <w:tc>
          <w:tcPr>
            <w:tcMar>
              <w:top w:type="dxa" w:w="80"/>
              <w:left w:type="dxa" w:w="120"/>
              <w:bottom w:type="dxa" w:w="80"/>
              <w:right w:type="dxa" w:w="120"/>
            </w:tcMar>
          </w:tcPr>
          <w:p>
            <w:pPr>
              <w:spacing w:after="40"/>
              <w:jc w:val="left"/>
            </w:pPr>
            <w:r>
              <w:rPr>
                <w:b w:val="false"/>
                <w:bCs w:val="false"/>
                <w:color w:val="1B1B1F"/>
                <w:sz w:val="20"/>
                <w:szCs w:val="20"/>
              </w:rPr>
              <w:t xml:space="preserve">Squad lead + AI &amp; Automation</w:t>
            </w:r>
          </w:p>
        </w:tc>
      </w:tr>
    </w:tbl>
    <w:p>
      <w:pPr>
        <w:pStyle w:val="Heading1"/>
        <w:spacing w:after="160" w:before="360"/>
      </w:pPr>
      <w:r>
        <w:rPr>
          <w:b/>
          <w:bCs/>
          <w:color w:val="1F3864"/>
          <w:sz w:val="30"/>
          <w:szCs w:val="30"/>
        </w:rPr>
        <w:t xml:space="preserve">6. Governance — How the Existing Controls Apply to Vendor Developers</w:t>
      </w:r>
    </w:p>
    <w:p>
      <w:pPr>
        <w:spacing w:after="120" w:line="300"/>
      </w:pPr>
      <w:r>
        <w:t xml:space="preserve">The existing AI Governance Framework, AUP, Control Register and Monitoring Playbook all extend to vendor developers. This section is not a new control set; it is a map showing how the existing controls land on the vendor population.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Existing artefact</w:t>
            </w:r>
          </w:p>
        </w:tc>
        <w:tc>
          <w:tcPr>
            <w:tcW w:type="pct" w:w="70%"/>
            <w:shd w:fill="1F3864" w:color="auto" w:val="clear"/>
            <w:tcMar>
              <w:top w:type="dxa" w:w="80"/>
              <w:left w:type="dxa" w:w="120"/>
              <w:bottom w:type="dxa" w:w="80"/>
              <w:right w:type="dxa" w:w="120"/>
            </w:tcMar>
          </w:tcPr>
          <w:p>
            <w:pPr>
              <w:spacing w:after="40"/>
              <w:jc w:val="left"/>
            </w:pPr>
            <w:r>
              <w:rPr>
                <w:b/>
                <w:bCs/>
                <w:color w:val="FFFFFF"/>
                <w:sz w:val="20"/>
                <w:szCs w:val="20"/>
              </w:rPr>
              <w:t xml:space="preserve">How it applies to vendor developers</w:t>
            </w:r>
          </w:p>
        </w:tc>
      </w:tr>
      <w:tr>
        <w:tc>
          <w:tcPr>
            <w:tcMar>
              <w:top w:type="dxa" w:w="80"/>
              <w:left w:type="dxa" w:w="120"/>
              <w:bottom w:type="dxa" w:w="80"/>
              <w:right w:type="dxa" w:w="120"/>
            </w:tcMar>
          </w:tcPr>
          <w:p>
            <w:pPr>
              <w:spacing w:after="40"/>
              <w:jc w:val="left"/>
            </w:pPr>
            <w:r>
              <w:rPr>
                <w:b/>
                <w:bCs/>
                <w:color w:val="1B1B1F"/>
                <w:sz w:val="20"/>
                <w:szCs w:val="20"/>
              </w:rPr>
              <w:t xml:space="preserve">AI Governance Framework v1.0</w:t>
            </w:r>
          </w:p>
        </w:tc>
        <w:tc>
          <w:tcPr>
            <w:tcMar>
              <w:top w:type="dxa" w:w="80"/>
              <w:left w:type="dxa" w:w="120"/>
              <w:bottom w:type="dxa" w:w="80"/>
              <w:right w:type="dxa" w:w="120"/>
            </w:tcMar>
          </w:tcPr>
          <w:p>
            <w:pPr>
              <w:spacing w:after="40"/>
              <w:jc w:val="left"/>
            </w:pPr>
            <w:r>
              <w:rPr>
                <w:b w:val="false"/>
                <w:bCs w:val="false"/>
                <w:color w:val="1B1B1F"/>
                <w:sz w:val="20"/>
                <w:szCs w:val="20"/>
              </w:rPr>
              <w:t xml:space="preserve">Vendor-developed AI use cases follow the same intake (Framework §6) and tier rubric. Vendor cannot pilot or deploy AI use cases without Council registration.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AI Acceptable Use Policy v1.0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developers attest to the AUP individually before access. Breach is managed via the SOW Addendum's incident-reporting and remediation clauses, in addition to the standard disciplinary route the vendor uses internally.</w:t>
            </w:r>
          </w:p>
        </w:tc>
      </w:tr>
      <w:tr>
        <w:tc>
          <w:tcPr>
            <w:tcMar>
              <w:top w:type="dxa" w:w="80"/>
              <w:left w:type="dxa" w:w="120"/>
              <w:bottom w:type="dxa" w:w="80"/>
              <w:right w:type="dxa" w:w="120"/>
            </w:tcMar>
          </w:tcPr>
          <w:p>
            <w:pPr>
              <w:spacing w:after="40"/>
              <w:jc w:val="left"/>
            </w:pPr>
            <w:r>
              <w:rPr>
                <w:b/>
                <w:bCs/>
                <w:color w:val="1B1B1F"/>
                <w:sz w:val="20"/>
                <w:szCs w:val="20"/>
              </w:rPr>
              <w:t xml:space="preserve">AI Control Register v1.0</w:t>
            </w:r>
          </w:p>
        </w:tc>
        <w:tc>
          <w:tcPr>
            <w:tcMar>
              <w:top w:type="dxa" w:w="80"/>
              <w:left w:type="dxa" w:w="120"/>
              <w:bottom w:type="dxa" w:w="80"/>
              <w:right w:type="dxa" w:w="120"/>
            </w:tcMar>
          </w:tcPr>
          <w:p>
            <w:pPr>
              <w:spacing w:after="40"/>
              <w:jc w:val="left"/>
            </w:pPr>
            <w:r>
              <w:rPr>
                <w:b w:val="false"/>
                <w:bCs w:val="false"/>
                <w:color w:val="1B1B1F"/>
                <w:sz w:val="20"/>
                <w:szCs w:val="20"/>
              </w:rPr>
              <w:t xml:space="preserve">Identity &amp; Access (A.01–A.05) extended to guest accounts; Code &amp; IP (F.01–F.05) enforced regardless of identity; Activity Monitoring (D.01–D.05) covers vendor accounts as in-scope.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AI Monitoring &amp; Incident Playbook v1.0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PB-3 (unapproved tool use) and PB-4 (code/secret leakage) are the most relevant. Vendor incidents are notified per SOW Addendum within 24h; vendor PIR participation required.</w:t>
            </w:r>
          </w:p>
        </w:tc>
      </w:tr>
      <w:tr>
        <w:tc>
          <w:tcPr>
            <w:tcMar>
              <w:top w:type="dxa" w:w="80"/>
              <w:left w:type="dxa" w:w="120"/>
              <w:bottom w:type="dxa" w:w="80"/>
              <w:right w:type="dxa" w:w="120"/>
            </w:tcMar>
          </w:tcPr>
          <w:p>
            <w:pPr>
              <w:spacing w:after="40"/>
              <w:jc w:val="left"/>
            </w:pPr>
            <w:r>
              <w:rPr>
                <w:b/>
                <w:bCs/>
                <w:color w:val="1B1B1F"/>
                <w:sz w:val="20"/>
                <w:szCs w:val="20"/>
              </w:rPr>
              <w:t xml:space="preserve">AI Vendor &amp; Third-Party DDQ</w:t>
            </w:r>
          </w:p>
        </w:tc>
        <w:tc>
          <w:tcPr>
            <w:tcMar>
              <w:top w:type="dxa" w:w="80"/>
              <w:left w:type="dxa" w:w="120"/>
              <w:bottom w:type="dxa" w:w="80"/>
              <w:right w:type="dxa" w:w="120"/>
            </w:tcMar>
          </w:tcPr>
          <w:p>
            <w:pPr>
              <w:spacing w:after="40"/>
              <w:jc w:val="left"/>
            </w:pPr>
            <w:r>
              <w:rPr>
                <w:b w:val="false"/>
                <w:bCs w:val="false"/>
                <w:color w:val="1B1B1F"/>
                <w:sz w:val="20"/>
                <w:szCs w:val="20"/>
              </w:rPr>
              <w:t xml:space="preserve">If a vendor proposes to bring its own AI tooling onto our codebase, the DDQ applies before approval. Default position is no own-tooling.</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Use-Case Intake &amp; Tier Rubric</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Any AI-enabled feature shipped by a vendor squad is registered through the standard intake; vendor cannot self-classify.</w:t>
            </w:r>
          </w:p>
        </w:tc>
      </w:tr>
    </w:tbl>
    <w:p>
      <w:pPr>
        <w:pStyle w:val="Heading1"/>
        <w:spacing w:after="160" w:before="360"/>
      </w:pPr>
      <w:r>
        <w:rPr>
          <w:b/>
          <w:bCs/>
          <w:color w:val="1F3864"/>
          <w:sz w:val="30"/>
          <w:szCs w:val="30"/>
        </w:rPr>
        <w:t xml:space="preserve">7. Quality and Code Review — The Bar Doesn't Drop</w:t>
      </w:r>
    </w:p>
    <w:p>
      <w:pPr>
        <w:spacing w:after="120" w:line="300"/>
      </w:pPr>
      <w:r>
        <w:t xml:space="preserve">AI-assisted code is faster to write. It is not faster to review unless reviewers are equally tooled. Quality and security expectations are unchanged.</w:t>
      </w:r>
    </w:p>
    <w:p>
      <w:pPr>
        <w:pStyle w:val="ListParagraph"/>
        <w:numPr>
          <w:ilvl w:val="0"/>
          <w:numId w:val="2"/>
        </w:numPr>
        <w:spacing w:after="80" w:line="280"/>
      </w:pPr>
      <w:r>
        <w:t xml:space="preserve">Branch protection enforces a human reviewer on every PR. Branch protection rules are tenant-managed and cannot be bypassed by repository owners.</w:t>
      </w:r>
    </w:p>
    <w:p>
      <w:pPr>
        <w:pStyle w:val="ListParagraph"/>
        <w:numPr>
          <w:ilvl w:val="0"/>
          <w:numId w:val="2"/>
        </w:numPr>
        <w:spacing w:after="80" w:line="280"/>
      </w:pPr>
      <w:r>
        <w:t xml:space="preserve">GHAS pre-merge checks (CodeQL, secret scanning, push protection, dependency review) must pass before merge. High-severity Copilot Autofix recommendations must be resolved or explicitly waived with senior approval.</w:t>
      </w:r>
    </w:p>
    <w:p>
      <w:pPr>
        <w:pStyle w:val="ListParagraph"/>
        <w:numPr>
          <w:ilvl w:val="0"/>
          <w:numId w:val="2"/>
        </w:numPr>
        <w:spacing w:after="80" w:line="280"/>
      </w:pPr>
      <w:r>
        <w:t xml:space="preserve">Copilot Code Review is enabled on PRs, providing an automated first-pass review that complements the human reviewer.</w:t>
      </w:r>
    </w:p>
    <w:p>
      <w:pPr>
        <w:pStyle w:val="ListParagraph"/>
        <w:numPr>
          <w:ilvl w:val="0"/>
          <w:numId w:val="2"/>
        </w:numPr>
        <w:spacing w:after="80" w:line="280"/>
      </w:pPr>
      <w:r>
        <w:t xml:space="preserve">Security-critical paths (authn, authz, crypto, payment routing) require two senior reviewers, one of whom is internal, irrespective of who wrote the code.</w:t>
      </w:r>
    </w:p>
    <w:p>
      <w:pPr>
        <w:pStyle w:val="ListParagraph"/>
        <w:numPr>
          <w:ilvl w:val="0"/>
          <w:numId w:val="2"/>
        </w:numPr>
        <w:spacing w:after="80" w:line="280"/>
      </w:pPr>
      <w:r>
        <w:t xml:space="preserve">Vendor developer commit volume is monitored. Sudden volume increases trigger a quality spot-check rather than a celebration.</w:t>
      </w:r>
    </w:p>
    <w:p>
      <w:pPr>
        <w:pStyle w:val="ListParagraph"/>
        <w:numPr>
          <w:ilvl w:val="0"/>
          <w:numId w:val="2"/>
        </w:numPr>
        <w:spacing w:after="80" w:line="280"/>
      </w:pPr>
      <w:r>
        <w:t xml:space="preserve">Test coverage and mutation-testing thresholds are unchanged. AI does not earn an exemption from tests.</w:t>
      </w:r>
    </w:p>
    <w:p>
      <w:pPr>
        <w:pStyle w:val="Heading1"/>
        <w:spacing w:after="160" w:before="360"/>
      </w:pPr>
      <w:r>
        <w:rPr>
          <w:b/>
          <w:bCs/>
          <w:color w:val="1F3864"/>
          <w:sz w:val="30"/>
          <w:szCs w:val="30"/>
        </w:rPr>
        <w:t xml:space="preserve">8. IP and Security Boundaries</w:t>
      </w:r>
    </w:p>
    <w:p>
      <w:pPr>
        <w:pStyle w:val="Heading2"/>
        <w:spacing w:after="120" w:before="240"/>
      </w:pPr>
      <w:r>
        <w:rPr>
          <w:b/>
          <w:bCs/>
          <w:color w:val="0F1F44"/>
          <w:sz w:val="24"/>
          <w:szCs w:val="24"/>
        </w:rPr>
        <w:t xml:space="preserve">8.1 Code ownership</w:t>
      </w:r>
    </w:p>
    <w:p>
      <w:pPr>
        <w:pStyle w:val="ListParagraph"/>
        <w:numPr>
          <w:ilvl w:val="0"/>
          <w:numId w:val="2"/>
        </w:numPr>
        <w:spacing w:after="80" w:line="280"/>
      </w:pPr>
      <w:r>
        <w:t xml:space="preserve">All work product produced under the engagement — including AI-assisted code, prompts and any artefacts — vests in the customer (us) per the master agreement. The SOW Addendum re-states this with specific reference to AI-assisted output to remove ambiguity.</w:t>
      </w:r>
    </w:p>
    <w:p>
      <w:pPr>
        <w:pStyle w:val="ListParagraph"/>
        <w:numPr>
          <w:ilvl w:val="0"/>
          <w:numId w:val="2"/>
        </w:numPr>
        <w:spacing w:after="80" w:line="280"/>
      </w:pPr>
      <w:r>
        <w:t xml:space="preserve">Vendor warrants that AI-assisted output does not knowingly introduce third-party IP or copyleft-licensed content; copyright filter / public-code matching must be enabled in GitHub Copilot Enterprise (Control F.04).</w:t>
      </w:r>
    </w:p>
    <w:p>
      <w:pPr>
        <w:pStyle w:val="ListParagraph"/>
        <w:numPr>
          <w:ilvl w:val="0"/>
          <w:numId w:val="2"/>
        </w:numPr>
        <w:spacing w:after="80" w:line="280"/>
      </w:pPr>
      <w:r>
        <w:t xml:space="preserve">Vendor and individual developer indemnities cover IP claims arising from AI-assisted output to the extent the vendor controls or accepts the tooling configuration.</w:t>
      </w:r>
    </w:p>
    <w:p>
      <w:pPr>
        <w:pStyle w:val="Heading2"/>
        <w:spacing w:after="120" w:before="240"/>
      </w:pPr>
      <w:r>
        <w:rPr>
          <w:b/>
          <w:bCs/>
          <w:color w:val="0F1F44"/>
          <w:sz w:val="24"/>
          <w:szCs w:val="24"/>
        </w:rPr>
        <w:t xml:space="preserve">8.2 Sensitive data</w:t>
      </w:r>
    </w:p>
    <w:p>
      <w:pPr>
        <w:pStyle w:val="ListParagraph"/>
        <w:numPr>
          <w:ilvl w:val="0"/>
          <w:numId w:val="2"/>
        </w:numPr>
        <w:spacing w:after="80" w:line="280"/>
      </w:pPr>
      <w:r>
        <w:t xml:space="preserve">No customer PII, no production secrets, no production data of any kind enters AI prompts — same rule as for internal engineers (AUP §8.3). Test data must be synthetic or pseudonymised.</w:t>
      </w:r>
    </w:p>
    <w:p>
      <w:pPr>
        <w:pStyle w:val="ListParagraph"/>
        <w:numPr>
          <w:ilvl w:val="0"/>
          <w:numId w:val="2"/>
        </w:numPr>
        <w:spacing w:after="80" w:line="280"/>
      </w:pPr>
      <w:r>
        <w:t xml:space="preserve">Vendor developers cannot move code outside our environment to use a different AI tool. The Dev Box / managed device pattern enforces this technically; the SOW Addendum enforces it contractually.</w:t>
      </w:r>
    </w:p>
    <w:p>
      <w:pPr>
        <w:pStyle w:val="ListParagraph"/>
        <w:numPr>
          <w:ilvl w:val="0"/>
          <w:numId w:val="2"/>
        </w:numPr>
        <w:spacing w:after="80" w:line="280"/>
      </w:pPr>
      <w:r>
        <w:t xml:space="preserve">Vendor own-AI-tooling proposals follow the AI Vendor &amp; Third-Party DDQ. Default approved-tool list does not include vendor-provided AI.</w:t>
      </w:r>
    </w:p>
    <w:p>
      <w:pPr>
        <w:pStyle w:val="Heading2"/>
        <w:spacing w:after="120" w:before="240"/>
      </w:pPr>
      <w:r>
        <w:rPr>
          <w:b/>
          <w:bCs/>
          <w:color w:val="0F1F44"/>
          <w:sz w:val="24"/>
          <w:szCs w:val="24"/>
        </w:rPr>
        <w:t xml:space="preserve">8.3 Identity and offboarding</w:t>
      </w:r>
    </w:p>
    <w:p>
      <w:pPr>
        <w:pStyle w:val="ListParagraph"/>
        <w:numPr>
          <w:ilvl w:val="0"/>
          <w:numId w:val="2"/>
        </w:numPr>
        <w:spacing w:after="80" w:line="280"/>
      </w:pPr>
      <w:r>
        <w:t xml:space="preserve">Vendor must provide a Joiner-Mover-Leaver (JML) feed: starts and exits within 24 hours; role changes within 5 working days. Manual notification by email is not acceptable for ongoing engagements.</w:t>
      </w:r>
    </w:p>
    <w:p>
      <w:pPr>
        <w:pStyle w:val="ListParagraph"/>
        <w:numPr>
          <w:ilvl w:val="0"/>
          <w:numId w:val="2"/>
        </w:numPr>
        <w:spacing w:after="80" w:line="280"/>
      </w:pPr>
      <w:r>
        <w:t xml:space="preserve">Identity expiry on engagement end-date is automatic; renewal requires positive confirmation from the vendor account manager and the squad lead.</w:t>
      </w:r>
    </w:p>
    <w:p>
      <w:pPr>
        <w:pStyle w:val="ListParagraph"/>
        <w:numPr>
          <w:ilvl w:val="0"/>
          <w:numId w:val="2"/>
        </w:numPr>
        <w:spacing w:after="80" w:line="280"/>
      </w:pPr>
      <w:r>
        <w:t xml:space="preserve">Quarterly access reviews on guest accounts; dormant identities (no sign-in for 30 days) are auto-disabled and reclaimed.</w:t>
      </w:r>
    </w:p>
    <w:p>
      <w:pPr>
        <w:pStyle w:val="Heading1"/>
        <w:spacing w:after="160" w:before="360"/>
      </w:pPr>
      <w:r>
        <w:rPr>
          <w:b/>
          <w:bCs/>
          <w:color w:val="1F3864"/>
          <w:sz w:val="30"/>
          <w:szCs w:val="30"/>
        </w:rPr>
        <w:t xml:space="preserve">9. Productivity Measurement</w:t>
      </w:r>
    </w:p>
    <w:p>
      <w:pPr>
        <w:spacing w:after="120" w:line="300"/>
      </w:pPr>
      <w:r>
        <w:t xml:space="preserve">Productivity is measured at squad level, not individual level. The point is to show whether the AI investment is paying for itself in vendor cost; it is not to performance-rank individual contractors.</w:t>
      </w:r>
    </w:p>
    <w:p>
      <w:pPr>
        <w:pStyle w:val="Heading2"/>
        <w:spacing w:after="120" w:before="240"/>
      </w:pPr>
      <w:r>
        <w:rPr>
          <w:b/>
          <w:bCs/>
          <w:color w:val="0F1F44"/>
          <w:sz w:val="24"/>
          <w:szCs w:val="24"/>
        </w:rPr>
        <w:t xml:space="preserve">9.1 Metrics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Metric</w:t>
            </w:r>
          </w:p>
        </w:tc>
        <w:tc>
          <w:tcPr>
            <w:tcW w:type="pct" w:w="46%"/>
            <w:shd w:fill="1F3864" w:color="auto" w:val="clear"/>
            <w:tcMar>
              <w:top w:type="dxa" w:w="80"/>
              <w:left w:type="dxa" w:w="120"/>
              <w:bottom w:type="dxa" w:w="80"/>
              <w:right w:type="dxa" w:w="120"/>
            </w:tcMar>
          </w:tcPr>
          <w:p>
            <w:pPr>
              <w:spacing w:after="40"/>
              <w:jc w:val="left"/>
            </w:pPr>
            <w:r>
              <w:rPr>
                <w:b/>
                <w:bCs/>
                <w:color w:val="FFFFFF"/>
                <w:sz w:val="20"/>
                <w:szCs w:val="20"/>
              </w:rPr>
              <w:t xml:space="preserve">Definition</w:t>
            </w:r>
          </w:p>
        </w:tc>
        <w:tc>
          <w:tcPr>
            <w:tcW w:type="pct" w:w="26%"/>
            <w:shd w:fill="1F3864" w:color="auto" w:val="clear"/>
            <w:tcMar>
              <w:top w:type="dxa" w:w="80"/>
              <w:left w:type="dxa" w:w="120"/>
              <w:bottom w:type="dxa" w:w="80"/>
              <w:right w:type="dxa" w:w="120"/>
            </w:tcMar>
          </w:tcPr>
          <w:p>
            <w:pPr>
              <w:spacing w:after="40"/>
              <w:jc w:val="center"/>
            </w:pPr>
            <w:r>
              <w:rPr>
                <w:b/>
                <w:bCs/>
                <w:color w:val="FFFFFF"/>
                <w:sz w:val="20"/>
                <w:szCs w:val="20"/>
              </w:rPr>
              <w:t xml:space="preserve">Target uplift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Throughput (story points / week)</w:t>
            </w:r>
          </w:p>
        </w:tc>
        <w:tc>
          <w:tcPr>
            <w:tcMar>
              <w:top w:type="dxa" w:w="80"/>
              <w:left w:type="dxa" w:w="120"/>
              <w:bottom w:type="dxa" w:w="80"/>
              <w:right w:type="dxa" w:w="120"/>
            </w:tcMar>
          </w:tcPr>
          <w:p>
            <w:pPr>
              <w:spacing w:after="40"/>
              <w:jc w:val="left"/>
            </w:pPr>
            <w:r>
              <w:rPr>
                <w:b w:val="false"/>
                <w:bCs w:val="false"/>
                <w:color w:val="1B1B1F"/>
                <w:sz w:val="20"/>
                <w:szCs w:val="20"/>
              </w:rPr>
              <w:t xml:space="preserve">Story points completed per FTE-week, normalised by complexity profile.</w:t>
            </w:r>
          </w:p>
        </w:tc>
        <w:tc>
          <w:tcPr>
            <w:tcMar>
              <w:top w:type="dxa" w:w="80"/>
              <w:left w:type="dxa" w:w="120"/>
              <w:bottom w:type="dxa" w:w="80"/>
              <w:right w:type="dxa" w:w="120"/>
            </w:tcMar>
          </w:tcPr>
          <w:p>
            <w:pPr>
              <w:spacing w:after="40"/>
              <w:jc w:val="center"/>
            </w:pPr>
            <w:r>
              <w:rPr>
                <w:b w:val="false"/>
                <w:bCs w:val="false"/>
                <w:color w:val="1B1B1F"/>
                <w:sz w:val="20"/>
                <w:szCs w:val="20"/>
              </w:rPr>
              <w:t xml:space="preserve">+15% by month 6</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Lead time for changes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Median time from first commit to production deploy (DORA).</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−25% by month 6</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Change failure rate</w:t>
            </w:r>
          </w:p>
        </w:tc>
        <w:tc>
          <w:tcPr>
            <w:tcMar>
              <w:top w:type="dxa" w:w="80"/>
              <w:left w:type="dxa" w:w="120"/>
              <w:bottom w:type="dxa" w:w="80"/>
              <w:right w:type="dxa" w:w="120"/>
            </w:tcMar>
          </w:tcPr>
          <w:p>
            <w:pPr>
              <w:spacing w:after="40"/>
              <w:jc w:val="left"/>
            </w:pPr>
            <w:r>
              <w:rPr>
                <w:b w:val="false"/>
                <w:bCs w:val="false"/>
                <w:color w:val="1B1B1F"/>
                <w:sz w:val="20"/>
                <w:szCs w:val="20"/>
              </w:rPr>
              <w:t xml:space="preserve">% of changes causing incident, rollback or hotfix (DORA).</w:t>
            </w:r>
          </w:p>
        </w:tc>
        <w:tc>
          <w:tcPr>
            <w:tcMar>
              <w:top w:type="dxa" w:w="80"/>
              <w:left w:type="dxa" w:w="120"/>
              <w:bottom w:type="dxa" w:w="80"/>
              <w:right w:type="dxa" w:w="120"/>
            </w:tcMar>
          </w:tcPr>
          <w:p>
            <w:pPr>
              <w:spacing w:after="40"/>
              <w:jc w:val="center"/>
            </w:pPr>
            <w:r>
              <w:rPr>
                <w:b w:val="false"/>
                <w:bCs w:val="false"/>
                <w:color w:val="1B1B1F"/>
                <w:sz w:val="20"/>
                <w:szCs w:val="20"/>
              </w:rPr>
              <w:t xml:space="preserve">Stable or improving (no regression)</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Mean time to restore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Median time from incident to recovery (DORA).</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Stable or improving</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PR cycle time</w:t>
            </w:r>
          </w:p>
        </w:tc>
        <w:tc>
          <w:tcPr>
            <w:tcMar>
              <w:top w:type="dxa" w:w="80"/>
              <w:left w:type="dxa" w:w="120"/>
              <w:bottom w:type="dxa" w:w="80"/>
              <w:right w:type="dxa" w:w="120"/>
            </w:tcMar>
          </w:tcPr>
          <w:p>
            <w:pPr>
              <w:spacing w:after="40"/>
              <w:jc w:val="left"/>
            </w:pPr>
            <w:r>
              <w:rPr>
                <w:b w:val="false"/>
                <w:bCs w:val="false"/>
                <w:color w:val="1B1B1F"/>
                <w:sz w:val="20"/>
                <w:szCs w:val="20"/>
              </w:rPr>
              <w:t xml:space="preserve">Median time from PR open to merge.</w:t>
            </w:r>
          </w:p>
        </w:tc>
        <w:tc>
          <w:tcPr>
            <w:tcMar>
              <w:top w:type="dxa" w:w="80"/>
              <w:left w:type="dxa" w:w="120"/>
              <w:bottom w:type="dxa" w:w="80"/>
              <w:right w:type="dxa" w:w="120"/>
            </w:tcMar>
          </w:tcPr>
          <w:p>
            <w:pPr>
              <w:spacing w:after="40"/>
              <w:jc w:val="center"/>
            </w:pPr>
            <w:r>
              <w:rPr>
                <w:b w:val="false"/>
                <w:bCs w:val="false"/>
                <w:color w:val="1B1B1F"/>
                <w:sz w:val="20"/>
                <w:szCs w:val="20"/>
              </w:rPr>
              <w:t xml:space="preserve">−20% by month 6</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suggestion acceptance rate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of Copilot suggestions accepted (raw signal; not a target on its own).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Tracked as a quality input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Test coverage / mutation score</w:t>
            </w:r>
          </w:p>
        </w:tc>
        <w:tc>
          <w:tcPr>
            <w:tcMar>
              <w:top w:type="dxa" w:w="80"/>
              <w:left w:type="dxa" w:w="120"/>
              <w:bottom w:type="dxa" w:w="80"/>
              <w:right w:type="dxa" w:w="120"/>
            </w:tcMar>
          </w:tcPr>
          <w:p>
            <w:pPr>
              <w:spacing w:after="40"/>
              <w:jc w:val="left"/>
            </w:pPr>
            <w:r>
              <w:rPr>
                <w:b w:val="false"/>
                <w:bCs w:val="false"/>
                <w:color w:val="1B1B1F"/>
                <w:sz w:val="20"/>
                <w:szCs w:val="20"/>
              </w:rPr>
              <w:t xml:space="preserve">Coverage and mutation-testing scores per repo.</w:t>
            </w:r>
          </w:p>
        </w:tc>
        <w:tc>
          <w:tcPr>
            <w:tcMar>
              <w:top w:type="dxa" w:w="80"/>
              <w:left w:type="dxa" w:w="120"/>
              <w:bottom w:type="dxa" w:w="80"/>
              <w:right w:type="dxa" w:w="120"/>
            </w:tcMar>
          </w:tcPr>
          <w:p>
            <w:pPr>
              <w:spacing w:after="40"/>
              <w:jc w:val="center"/>
            </w:pPr>
            <w:r>
              <w:rPr>
                <w:b w:val="false"/>
                <w:bCs w:val="false"/>
                <w:color w:val="1B1B1F"/>
                <w:sz w:val="20"/>
                <w:szCs w:val="20"/>
              </w:rPr>
              <w:t xml:space="preserve">Stable or improving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GHAS findings per merged PR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Average count of CodeQL / secret / dependency findings per merged PR.</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Stable or decreasing</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Cost per delivered story point</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cost / story points delivered, by squad.</w:t>
            </w:r>
          </w:p>
        </w:tc>
        <w:tc>
          <w:tcPr>
            <w:tcMar>
              <w:top w:type="dxa" w:w="80"/>
              <w:left w:type="dxa" w:w="120"/>
              <w:bottom w:type="dxa" w:w="80"/>
              <w:right w:type="dxa" w:w="120"/>
            </w:tcMar>
          </w:tcPr>
          <w:p>
            <w:pPr>
              <w:spacing w:after="40"/>
              <w:jc w:val="center"/>
            </w:pPr>
            <w:r>
              <w:rPr>
                <w:b w:val="false"/>
                <w:bCs w:val="false"/>
                <w:color w:val="1B1B1F"/>
                <w:sz w:val="20"/>
                <w:szCs w:val="20"/>
              </w:rPr>
              <w:t xml:space="preserve">−10–15% by month 9</w:t>
            </w:r>
          </w:p>
        </w:tc>
      </w:tr>
    </w:tbl>
    <w:p>
      <w:pPr>
        <w:pStyle w:val="Heading2"/>
        <w:spacing w:after="120" w:before="240"/>
      </w:pPr>
      <w:r>
        <w:rPr>
          <w:b/>
          <w:bCs/>
          <w:color w:val="0F1F44"/>
          <w:sz w:val="24"/>
          <w:szCs w:val="24"/>
        </w:rPr>
        <w:t xml:space="preserve">9.2 Baseline</w:t>
      </w:r>
    </w:p>
    <w:p>
      <w:pPr>
        <w:pStyle w:val="ListParagraph"/>
        <w:numPr>
          <w:ilvl w:val="0"/>
          <w:numId w:val="2"/>
        </w:numPr>
        <w:spacing w:after="80" w:line="280"/>
      </w:pPr>
      <w:r>
        <w:t xml:space="preserve">Two sprints of pre-AI baseline data captured for every squad before AI tooling is enabled. No exceptions.</w:t>
      </w:r>
    </w:p>
    <w:p>
      <w:pPr>
        <w:pStyle w:val="ListParagraph"/>
        <w:numPr>
          <w:ilvl w:val="0"/>
          <w:numId w:val="2"/>
        </w:numPr>
        <w:spacing w:after="80" w:line="280"/>
      </w:pPr>
      <w:r>
        <w:t xml:space="preserve">Baselines are signed off by the squad lead and the vendor account manager; once signed, they are the reference point for the engagement.</w:t>
      </w:r>
    </w:p>
    <w:p>
      <w:pPr>
        <w:pStyle w:val="ListParagraph"/>
        <w:numPr>
          <w:ilvl w:val="0"/>
          <w:numId w:val="2"/>
        </w:numPr>
        <w:spacing w:after="80" w:line="280"/>
      </w:pPr>
      <w:r>
        <w:t xml:space="preserve">Squad-level data is the unit of measurement. Individual-level data is collected for hygiene but not used for performance ranking of vendor staff.</w:t>
      </w:r>
    </w:p>
    <w:p>
      <w:pPr>
        <w:pStyle w:val="Heading2"/>
        <w:spacing w:after="120" w:before="240"/>
      </w:pPr>
      <w:r>
        <w:rPr>
          <w:b/>
          <w:bCs/>
          <w:color w:val="0F1F44"/>
          <w:sz w:val="24"/>
          <w:szCs w:val="24"/>
        </w:rPr>
        <w:t xml:space="preserve">9.3 Reporting</w:t>
      </w:r>
    </w:p>
    <w:p>
      <w:pPr>
        <w:pStyle w:val="ListParagraph"/>
        <w:numPr>
          <w:ilvl w:val="0"/>
          <w:numId w:val="2"/>
        </w:numPr>
        <w:spacing w:after="80" w:line="280"/>
      </w:pPr>
      <w:r>
        <w:t xml:space="preserve">Weekly squad metrics dashboard reviewed by squad lead and vendor account manager.</w:t>
      </w:r>
    </w:p>
    <w:p>
      <w:pPr>
        <w:pStyle w:val="ListParagraph"/>
        <w:numPr>
          <w:ilvl w:val="0"/>
          <w:numId w:val="2"/>
        </w:numPr>
        <w:spacing w:after="80" w:line="280"/>
      </w:pPr>
      <w:r>
        <w:t xml:space="preserve">Monthly vendor scorecard reviewed at Vendor Service Review (VSR) — productivity uplift, quality, AI tooling adoption, incident count.</w:t>
      </w:r>
    </w:p>
    <w:p>
      <w:pPr>
        <w:pStyle w:val="ListParagraph"/>
        <w:numPr>
          <w:ilvl w:val="0"/>
          <w:numId w:val="2"/>
        </w:numPr>
        <w:spacing w:after="80" w:line="280"/>
      </w:pPr>
      <w:r>
        <w:t xml:space="preserve">Quarterly vendor review at the AI Council with the Head of Software Engineering and Procurement — strategic view, commercial implications.</w:t>
      </w:r>
    </w:p>
    <w:p>
      <w:pPr>
        <w:pStyle w:val="Heading1"/>
        <w:spacing w:after="160" w:before="360"/>
      </w:pPr>
      <w:r>
        <w:rPr>
          <w:b/>
          <w:bCs/>
          <w:color w:val="1F3864"/>
          <w:sz w:val="30"/>
          <w:szCs w:val="30"/>
        </w:rPr>
        <w:t xml:space="preserve">10. Change Management with Vendors</w:t>
      </w:r>
    </w:p>
    <w:p>
      <w:pPr>
        <w:spacing w:after="120" w:line="300"/>
      </w:pPr>
      <w:r>
        <w:t xml:space="preserve">Vendors will not always be enthusiastic — productivity gains that flow to the customer reduce billed hours. Treat the conversation as a partnership reset, not a takeaway.</w:t>
      </w:r>
    </w:p>
    <w:p>
      <w:pPr>
        <w:pStyle w:val="ListParagraph"/>
        <w:numPr>
          <w:ilvl w:val="0"/>
          <w:numId w:val="2"/>
        </w:numPr>
        <w:spacing w:after="80" w:line="280"/>
      </w:pPr>
      <w:r>
        <w:t xml:space="preserve">Lead with the customer's strategic intent: faster delivery, better quality, longer-term relationship for vendors who help us win.</w:t>
      </w:r>
    </w:p>
    <w:p>
      <w:pPr>
        <w:pStyle w:val="ListParagraph"/>
        <w:numPr>
          <w:ilvl w:val="0"/>
          <w:numId w:val="2"/>
        </w:numPr>
        <w:spacing w:after="80" w:line="280"/>
      </w:pPr>
      <w:r>
        <w:t xml:space="preserve">Acknowledge the commercial reality: hourly-rate engagements that become more efficient mean fewer billed hours; the vendor's value-share comes through scope expansion, longer engagements, and reputation, not through inflated hours.</w:t>
      </w:r>
    </w:p>
    <w:p>
      <w:pPr>
        <w:pStyle w:val="ListParagraph"/>
        <w:numPr>
          <w:ilvl w:val="0"/>
          <w:numId w:val="2"/>
        </w:numPr>
        <w:spacing w:after="80" w:line="280"/>
      </w:pPr>
      <w:r>
        <w:t xml:space="preserve">Co-design the squad-level metrics with the vendor account manager. They have to defend the targets internally; getting buy-in is faster than imposing.</w:t>
      </w:r>
    </w:p>
    <w:p>
      <w:pPr>
        <w:pStyle w:val="ListParagraph"/>
        <w:numPr>
          <w:ilvl w:val="0"/>
          <w:numId w:val="2"/>
        </w:numPr>
        <w:spacing w:after="80" w:line="280"/>
      </w:pPr>
      <w:r>
        <w:t xml:space="preserve">Be explicit about red lines: no AI tools we don't approve, no code outside our environment, no shortcuts on review. Vendors who push back on these are signalling a problem.</w:t>
      </w:r>
    </w:p>
    <w:p>
      <w:pPr>
        <w:pStyle w:val="ListParagraph"/>
        <w:numPr>
          <w:ilvl w:val="0"/>
          <w:numId w:val="2"/>
        </w:numPr>
        <w:spacing w:after="80" w:line="280"/>
      </w:pPr>
      <w:r>
        <w:t xml:space="preserve">Recognise progress publicly. A vendor squad that hits the productivity targets gets named in the quarterly Council review and is first in line for new work.</w:t>
      </w:r>
    </w:p>
    <w:p>
      <w:pPr>
        <w:pStyle w:val="Heading1"/>
        <w:spacing w:after="160" w:before="360"/>
      </w:pPr>
      <w:r>
        <w:rPr>
          <w:b/>
          <w:bCs/>
          <w:color w:val="1F3864"/>
          <w:sz w:val="30"/>
          <w:szCs w:val="30"/>
        </w:rPr>
        <w:t xml:space="preserve">11. Commercial Implications and Value Capture</w:t>
      </w:r>
    </w:p>
    <w:p>
      <w:pPr>
        <w:spacing w:after="120" w:line="300"/>
      </w:pPr>
      <w:r>
        <w:t xml:space="preserve">This is the part that vendor account managers will read first. Be explicit about how value is shared.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Engagement type</w:t>
            </w:r>
          </w:p>
        </w:tc>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How AI productivity gains land</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Mechanism in the SOW Addendum</w:t>
            </w:r>
          </w:p>
        </w:tc>
      </w:tr>
      <w:tr>
        <w:tc>
          <w:tcPr>
            <w:tcMar>
              <w:top w:type="dxa" w:w="80"/>
              <w:left w:type="dxa" w:w="120"/>
              <w:bottom w:type="dxa" w:w="80"/>
              <w:right w:type="dxa" w:w="120"/>
            </w:tcMar>
          </w:tcPr>
          <w:p>
            <w:pPr>
              <w:spacing w:after="40"/>
              <w:jc w:val="left"/>
            </w:pPr>
            <w:r>
              <w:rPr>
                <w:b/>
                <w:bCs/>
                <w:color w:val="1B1B1F"/>
                <w:sz w:val="20"/>
                <w:szCs w:val="20"/>
              </w:rPr>
              <w:t xml:space="preserve">Time and materials (T&amp;M) — hourly</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captures the gain through reduced hours per delivered scope. Vendor margin per hour unchanged; total billed hours fall.</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Productivity reporting clause + monthly review against target uplift; rate review at quarterly milestones if uplift exceeds target by &gt; 50%.</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Capacity / squad-as-a-service (monthly fee per squad)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 captures the gain through more output per squad-month. Vendor revenue per squad unchanged in the short term.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Output expectation increase clause: a productivity uplift over the baseline is an expectation, not an option, after month 6. Failure to meet uplift is a service-credit event.</w:t>
            </w:r>
          </w:p>
        </w:tc>
      </w:tr>
      <w:tr>
        <w:tc>
          <w:tcPr>
            <w:tcMar>
              <w:top w:type="dxa" w:w="80"/>
              <w:left w:type="dxa" w:w="120"/>
              <w:bottom w:type="dxa" w:w="80"/>
              <w:right w:type="dxa" w:w="120"/>
            </w:tcMar>
          </w:tcPr>
          <w:p>
            <w:pPr>
              <w:spacing w:after="40"/>
              <w:jc w:val="left"/>
            </w:pPr>
            <w:r>
              <w:rPr>
                <w:b/>
                <w:bCs/>
                <w:color w:val="1B1B1F"/>
                <w:sz w:val="20"/>
                <w:szCs w:val="20"/>
              </w:rPr>
              <w:t xml:space="preserve">Outcome-based / fixed-scope (occasional under staff aug)</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captures the gain in margin unless the contract is rebased.</w:t>
            </w:r>
          </w:p>
        </w:tc>
        <w:tc>
          <w:tcPr>
            <w:tcMar>
              <w:top w:type="dxa" w:w="80"/>
              <w:left w:type="dxa" w:w="120"/>
              <w:bottom w:type="dxa" w:w="80"/>
              <w:right w:type="dxa" w:w="120"/>
            </w:tcMar>
          </w:tcPr>
          <w:p>
            <w:pPr>
              <w:spacing w:after="40"/>
              <w:jc w:val="left"/>
            </w:pPr>
            <w:r>
              <w:rPr>
                <w:b w:val="false"/>
                <w:bCs w:val="false"/>
                <w:color w:val="1B1B1F"/>
                <w:sz w:val="20"/>
                <w:szCs w:val="20"/>
              </w:rPr>
              <w:t xml:space="preserve">Scope-rebase trigger: any productivity uplift &gt; 15% measured for 3 consecutive months triggers a rebase conversation; default is 50/50 sharing on subsequent scopes.</w:t>
            </w:r>
          </w:p>
        </w:tc>
      </w:tr>
    </w:tbl>
    <w:p>
      <w:pPr>
        <w:spacing w:after="80"/>
      </w:pPr>
      <w:r>
        <w:rPr>
          <w:i/>
          <w:iCs/>
          <w:color w:val="5A5A66"/>
          <w:sz w:val="20"/>
          <w:szCs w:val="20"/>
        </w:rPr>
        <w:t xml:space="preserve">These mechanics are templated in the Vendor SOW Addendum that accompanies this Playbook. Procurement runs the addendum into existing master agreements; new agreements include the addendum from the start.</w:t>
      </w:r>
    </w:p>
    <w:p>
      <w:pPr>
        <w:pStyle w:val="Heading1"/>
        <w:spacing w:after="160" w:before="360"/>
      </w:pPr>
      <w:r>
        <w:rPr>
          <w:b/>
          <w:bCs/>
          <w:color w:val="1F3864"/>
          <w:sz w:val="30"/>
          <w:szCs w:val="30"/>
        </w:rPr>
        <w:t xml:space="preserve">12. Risks Specific to Vendor AI Use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Risk</w:t>
            </w:r>
          </w:p>
        </w:tc>
        <w:tc>
          <w:tcPr>
            <w:tcW w:type="pct" w:w="12%"/>
            <w:shd w:fill="1F3864" w:color="auto" w:val="clear"/>
            <w:tcMar>
              <w:top w:type="dxa" w:w="80"/>
              <w:left w:type="dxa" w:w="120"/>
              <w:bottom w:type="dxa" w:w="80"/>
              <w:right w:type="dxa" w:w="120"/>
            </w:tcMar>
          </w:tcPr>
          <w:p>
            <w:pPr>
              <w:spacing w:after="40"/>
              <w:jc w:val="center"/>
            </w:pPr>
            <w:r>
              <w:rPr>
                <w:b/>
                <w:bCs/>
                <w:color w:val="FFFFFF"/>
                <w:sz w:val="20"/>
                <w:szCs w:val="20"/>
              </w:rPr>
              <w:t xml:space="preserve">L × I</w:t>
            </w:r>
          </w:p>
        </w:tc>
        <w:tc>
          <w:tcPr>
            <w:tcW w:type="pct" w:w="56%"/>
            <w:shd w:fill="1F3864" w:color="auto" w:val="clear"/>
            <w:tcMar>
              <w:top w:type="dxa" w:w="80"/>
              <w:left w:type="dxa" w:w="120"/>
              <w:bottom w:type="dxa" w:w="80"/>
              <w:right w:type="dxa" w:w="120"/>
            </w:tcMar>
          </w:tcPr>
          <w:p>
            <w:pPr>
              <w:spacing w:after="40"/>
              <w:jc w:val="left"/>
            </w:pPr>
            <w:r>
              <w:rPr>
                <w:b/>
                <w:bCs/>
                <w:color w:val="FFFFFF"/>
                <w:sz w:val="20"/>
                <w:szCs w:val="20"/>
              </w:rPr>
              <w:t xml:space="preserve">Mitigation</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Vendor uses unapproved AI tools off-platform; code leaves our control</w:t>
            </w:r>
          </w:p>
        </w:tc>
        <w:tc>
          <w:tcPr>
            <w:tcMar>
              <w:top w:type="dxa" w:w="80"/>
              <w:left w:type="dxa" w:w="120"/>
              <w:bottom w:type="dxa" w:w="80"/>
              <w:right w:type="dxa" w:w="120"/>
            </w:tcMar>
          </w:tcPr>
          <w:p>
            <w:pPr>
              <w:spacing w:after="40"/>
              <w:jc w:val="center"/>
            </w:pPr>
            <w:r>
              <w:rPr>
                <w:b/>
                <w:bCs/>
                <w:color w:val="B23A3A"/>
                <w:sz w:val="20"/>
                <w:szCs w:val="20"/>
              </w:rPr>
              <w:t xml:space="preserve">M × H</w:t>
            </w:r>
          </w:p>
        </w:tc>
        <w:tc>
          <w:tcPr>
            <w:tcMar>
              <w:top w:type="dxa" w:w="80"/>
              <w:left w:type="dxa" w:w="120"/>
              <w:bottom w:type="dxa" w:w="80"/>
              <w:right w:type="dxa" w:w="120"/>
            </w:tcMar>
          </w:tcPr>
          <w:p>
            <w:pPr>
              <w:spacing w:after="40"/>
              <w:jc w:val="left"/>
            </w:pPr>
            <w:r>
              <w:rPr>
                <w:b w:val="false"/>
                <w:bCs w:val="false"/>
                <w:color w:val="1B1B1F"/>
                <w:sz w:val="20"/>
                <w:szCs w:val="20"/>
              </w:rPr>
              <w:t xml:space="preserve">Dev Box-first device strategy; managed laptop with Intune fallback; egress controls (E.02); AUP attestation per individual; SOW Addendum makes it a contractual breach.</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AI-generated code introduces IP, licence or security defects</w:t>
            </w:r>
          </w:p>
        </w:tc>
        <w:tc>
          <w:tcPr>
            <w:shd w:fill="F3F6FC" w:color="auto" w:val="clear"/>
            <w:tcMar>
              <w:top w:type="dxa" w:w="80"/>
              <w:left w:type="dxa" w:w="120"/>
              <w:bottom w:type="dxa" w:w="80"/>
              <w:right w:type="dxa" w:w="120"/>
            </w:tcMar>
          </w:tcPr>
          <w:p>
            <w:pPr>
              <w:spacing w:after="40"/>
              <w:jc w:val="center"/>
            </w:pPr>
            <w:r>
              <w:rPr>
                <w:b/>
                <w:bCs/>
                <w:color w:val="B23A3A"/>
                <w:sz w:val="20"/>
                <w:szCs w:val="20"/>
              </w:rPr>
              <w:t xml:space="preserve">M × 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GHAS pre-merge enforced; copyright filter on; security review for sensitive paths; vendor warranty + indemnity in SOW Addendum.</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Vendor inflates hours despite productivity gains</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Squad-level productivity reporting; throughput vs. hours tracked monthly; quarterly rate review; transparent baselines signed by both sides.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developer access remains active after exit</w:t>
            </w:r>
          </w:p>
        </w:tc>
        <w:tc>
          <w:tcPr>
            <w:shd w:fill="F3F6FC" w:color="auto" w:val="clear"/>
            <w:tcMar>
              <w:top w:type="dxa" w:w="80"/>
              <w:left w:type="dxa" w:w="120"/>
              <w:bottom w:type="dxa" w:w="80"/>
              <w:right w:type="dxa" w:w="120"/>
            </w:tcMar>
          </w:tcPr>
          <w:p>
            <w:pPr>
              <w:spacing w:after="40"/>
              <w:jc w:val="center"/>
            </w:pPr>
            <w:r>
              <w:rPr>
                <w:b/>
                <w:bCs/>
                <w:color w:val="B23A3A"/>
                <w:sz w:val="20"/>
                <w:szCs w:val="20"/>
              </w:rPr>
              <w:t xml:space="preserve">M × 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Mandatory JML feed within 24h (SOW Addendum); auto-disable on engagement end-date; quarterly access reviews; dormant-account purge.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Vendor squads compete for credit on AI uplift; metrics gamed</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Counter-metrics (quality, defect rate); squad-level not individual; spot audits; multiple metrics in a balanced scorecard.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lock-in on a vendor-specific AI tooling proposal</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L × 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Customer-provisioned tooling default; vendor own-AI proposals require DDQ + Council approval; no concentration of one vendor's tooling across multiple engagements.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Sub-vendors / labour subcontractors not bound to AUP</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SOW Addendum requires flow-down to subcontractors; vendor warrants subcontractors are bound; standing register of sub-vendor personnel maintained by vendor and shared monthly.</w:t>
            </w:r>
          </w:p>
        </w:tc>
      </w:tr>
    </w:tbl>
    <w:p>
      <w:pPr>
        <w:pStyle w:val="Heading1"/>
        <w:spacing w:after="160" w:before="360"/>
      </w:pPr>
      <w:r>
        <w:rPr>
          <w:b/>
          <w:bCs/>
          <w:color w:val="1F3864"/>
          <w:sz w:val="30"/>
          <w:szCs w:val="30"/>
        </w:rPr>
        <w:t xml:space="preserve">13. Vendor Pilot Plan — First 90 Days</w:t>
      </w:r>
    </w:p>
    <w:p>
      <w:pPr>
        <w:spacing w:after="120" w:line="300"/>
      </w:pPr>
      <w:r>
        <w:t xml:space="preserve">Mirrors the internal developer pilot in the GitHub Copilot Rollout Plan §3, with vendor-specific additions. Run on the same calendar so cross-comparison is clean.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Window</w:t>
            </w:r>
          </w:p>
        </w:tc>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Focus</w:t>
            </w:r>
          </w:p>
        </w:tc>
        <w:tc>
          <w:tcPr>
            <w:tcW w:type="pct" w:w="54%"/>
            <w:shd w:fill="1F3864" w:color="auto" w:val="clear"/>
            <w:tcMar>
              <w:top w:type="dxa" w:w="80"/>
              <w:left w:type="dxa" w:w="120"/>
              <w:bottom w:type="dxa" w:w="80"/>
              <w:right w:type="dxa" w:w="120"/>
            </w:tcMar>
          </w:tcPr>
          <w:p>
            <w:pPr>
              <w:spacing w:after="40"/>
              <w:jc w:val="left"/>
            </w:pPr>
            <w:r>
              <w:rPr>
                <w:b/>
                <w:bCs/>
                <w:color w:val="FFFFFF"/>
                <w:sz w:val="20"/>
                <w:szCs w:val="20"/>
              </w:rPr>
              <w:t xml:space="preserve">Outputs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Day 1–15</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selection + addendum signing</w:t>
            </w:r>
          </w:p>
        </w:tc>
        <w:tc>
          <w:tcPr>
            <w:tcMar>
              <w:top w:type="dxa" w:w="80"/>
              <w:left w:type="dxa" w:w="120"/>
              <w:bottom w:type="dxa" w:w="80"/>
              <w:right w:type="dxa" w:w="120"/>
            </w:tcMar>
          </w:tcPr>
          <w:p>
            <w:pPr>
              <w:spacing w:after="40"/>
              <w:jc w:val="left"/>
            </w:pPr>
            <w:r>
              <w:rPr>
                <w:b w:val="false"/>
                <w:bCs w:val="false"/>
                <w:color w:val="1B1B1F"/>
                <w:sz w:val="20"/>
                <w:szCs w:val="20"/>
              </w:rPr>
              <w:t xml:space="preserve">Two vendor squads chosen for pilot (one off-shore, one on-site if applicable). SOW Addendum signed. Baselines pre-captured.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Day 16–30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Onboarding flow run end-to-end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Per-individual AUP attestation, identity, Dev Box, training, first PRs. Onboarding-runbook lessons captured.</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Day 31–60</w:t>
            </w:r>
          </w:p>
        </w:tc>
        <w:tc>
          <w:tcPr>
            <w:tcMar>
              <w:top w:type="dxa" w:w="80"/>
              <w:left w:type="dxa" w:w="120"/>
              <w:bottom w:type="dxa" w:w="80"/>
              <w:right w:type="dxa" w:w="120"/>
            </w:tcMar>
          </w:tcPr>
          <w:p>
            <w:pPr>
              <w:spacing w:after="40"/>
              <w:jc w:val="left"/>
            </w:pPr>
            <w:r>
              <w:rPr>
                <w:b w:val="false"/>
                <w:bCs w:val="false"/>
                <w:color w:val="1B1B1F"/>
                <w:sz w:val="20"/>
                <w:szCs w:val="20"/>
              </w:rPr>
              <w:t xml:space="preserve">Steady-state pilot</w:t>
            </w:r>
          </w:p>
        </w:tc>
        <w:tc>
          <w:tcPr>
            <w:tcMar>
              <w:top w:type="dxa" w:w="80"/>
              <w:left w:type="dxa" w:w="120"/>
              <w:bottom w:type="dxa" w:w="80"/>
              <w:right w:type="dxa" w:w="120"/>
            </w:tcMar>
          </w:tcPr>
          <w:p>
            <w:pPr>
              <w:spacing w:after="40"/>
              <w:jc w:val="left"/>
            </w:pPr>
            <w:r>
              <w:rPr>
                <w:b w:val="false"/>
                <w:bCs w:val="false"/>
                <w:color w:val="1B1B1F"/>
                <w:sz w:val="20"/>
                <w:szCs w:val="20"/>
              </w:rPr>
              <w:t xml:space="preserve">Squads deliver against normal sprint cadence with AI tooling. Weekly metrics. Two cohorts compared against baseline. Vendor account manager VSR cadence established.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Day 61–90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Read-out + decision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Productivity uplift quantified at squad level. Quality regression tested. Decision: scale to other vendor squads, refine commercial mechanic, or pause.</w:t>
            </w:r>
          </w:p>
        </w:tc>
      </w:tr>
    </w:tbl>
    <w:p>
      <w:pPr>
        <w:pStyle w:val="Heading1"/>
        <w:spacing w:after="160" w:before="360"/>
      </w:pPr>
      <w:r>
        <w:rPr>
          <w:b/>
          <w:bCs/>
          <w:color w:val="1F3864"/>
          <w:sz w:val="30"/>
          <w:szCs w:val="30"/>
        </w:rPr>
        <w:t xml:space="preserve">14. Roles and RACI</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Activity</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R</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A</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C</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I</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SOW Addendum negotiation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Procurement + GC</w:t>
            </w:r>
          </w:p>
        </w:tc>
        <w:tc>
          <w:tcPr>
            <w:tcMar>
              <w:top w:type="dxa" w:w="80"/>
              <w:left w:type="dxa" w:w="120"/>
              <w:bottom w:type="dxa" w:w="80"/>
              <w:right w:type="dxa" w:w="120"/>
            </w:tcMar>
          </w:tcPr>
          <w:p>
            <w:pPr>
              <w:spacing w:after="40"/>
              <w:jc w:val="center"/>
            </w:pPr>
            <w:r>
              <w:rPr>
                <w:b w:val="false"/>
                <w:bCs w:val="false"/>
                <w:color w:val="1B1B1F"/>
                <w:sz w:val="20"/>
                <w:szCs w:val="20"/>
              </w:rPr>
              <w:t xml:space="preserve">CFO</w:t>
            </w:r>
          </w:p>
        </w:tc>
        <w:tc>
          <w:tcPr>
            <w:tcMar>
              <w:top w:type="dxa" w:w="80"/>
              <w:left w:type="dxa" w:w="120"/>
              <w:bottom w:type="dxa" w:w="80"/>
              <w:right w:type="dxa" w:w="120"/>
            </w:tcMar>
          </w:tcPr>
          <w:p>
            <w:pPr>
              <w:spacing w:after="40"/>
              <w:jc w:val="center"/>
            </w:pPr>
            <w:r>
              <w:rPr>
                <w:b w:val="false"/>
                <w:bCs w:val="false"/>
                <w:color w:val="1B1B1F"/>
                <w:sz w:val="20"/>
                <w:szCs w:val="20"/>
              </w:rPr>
              <w:t xml:space="preserve">Head of AI, Head of Eng</w:t>
            </w:r>
          </w:p>
        </w:tc>
        <w:tc>
          <w:tcPr>
            <w:tcMar>
              <w:top w:type="dxa" w:w="80"/>
              <w:left w:type="dxa" w:w="120"/>
              <w:bottom w:type="dxa" w:w="80"/>
              <w:right w:type="dxa" w:w="120"/>
            </w:tcMar>
          </w:tcPr>
          <w:p>
            <w:pPr>
              <w:spacing w:after="40"/>
              <w:jc w:val="center"/>
            </w:pPr>
            <w:r>
              <w:rPr>
                <w:b w:val="false"/>
                <w:bCs w:val="false"/>
                <w:color w:val="1B1B1F"/>
                <w:sz w:val="20"/>
                <w:szCs w:val="20"/>
              </w:rPr>
              <w:t xml:space="preserve">AI Council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onboarding execution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Squad lead + IAM + DevEx</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Head of Eng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AI &amp; Automation, AppSec</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Vendor</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AUP attestation tracking</w:t>
            </w:r>
          </w:p>
        </w:tc>
        <w:tc>
          <w:tcPr>
            <w:tcMar>
              <w:top w:type="dxa" w:w="80"/>
              <w:left w:type="dxa" w:w="120"/>
              <w:bottom w:type="dxa" w:w="80"/>
              <w:right w:type="dxa" w:w="120"/>
            </w:tcMar>
          </w:tcPr>
          <w:p>
            <w:pPr>
              <w:spacing w:after="40"/>
              <w:jc w:val="center"/>
            </w:pPr>
            <w:r>
              <w:rPr>
                <w:b w:val="false"/>
                <w:bCs w:val="false"/>
                <w:color w:val="1B1B1F"/>
                <w:sz w:val="20"/>
                <w:szCs w:val="20"/>
              </w:rPr>
              <w:t xml:space="preserve">AI &amp; Automation + HR</w:t>
            </w:r>
          </w:p>
        </w:tc>
        <w:tc>
          <w:tcPr>
            <w:tcMar>
              <w:top w:type="dxa" w:w="80"/>
              <w:left w:type="dxa" w:w="120"/>
              <w:bottom w:type="dxa" w:w="80"/>
              <w:right w:type="dxa" w:w="120"/>
            </w:tcMar>
          </w:tcPr>
          <w:p>
            <w:pPr>
              <w:spacing w:after="40"/>
              <w:jc w:val="center"/>
            </w:pPr>
            <w:r>
              <w:rPr>
                <w:b w:val="false"/>
                <w:bCs w:val="false"/>
                <w:color w:val="1B1B1F"/>
                <w:sz w:val="20"/>
                <w:szCs w:val="20"/>
              </w:rPr>
              <w:t xml:space="preserve">Head of AI</w:t>
            </w:r>
          </w:p>
        </w:tc>
        <w:tc>
          <w:tcPr>
            <w:tcMar>
              <w:top w:type="dxa" w:w="80"/>
              <w:left w:type="dxa" w:w="120"/>
              <w:bottom w:type="dxa" w:w="80"/>
              <w:right w:type="dxa" w:w="120"/>
            </w:tcMar>
          </w:tcPr>
          <w:p>
            <w:pPr>
              <w:spacing w:after="40"/>
              <w:jc w:val="center"/>
            </w:pPr>
            <w:r>
              <w:rPr>
                <w:b w:val="false"/>
                <w:bCs w:val="false"/>
                <w:color w:val="1B1B1F"/>
                <w:sz w:val="20"/>
                <w:szCs w:val="20"/>
              </w:rPr>
              <w:t xml:space="preserve">Procurement</w:t>
            </w:r>
          </w:p>
        </w:tc>
        <w:tc>
          <w:tcPr>
            <w:tcMar>
              <w:top w:type="dxa" w:w="80"/>
              <w:left w:type="dxa" w:w="120"/>
              <w:bottom w:type="dxa" w:w="80"/>
              <w:right w:type="dxa" w:w="120"/>
            </w:tcMar>
          </w:tcPr>
          <w:p>
            <w:pPr>
              <w:spacing w:after="40"/>
              <w:jc w:val="center"/>
            </w:pPr>
            <w:r>
              <w:rPr>
                <w:b w:val="false"/>
                <w:bCs w:val="false"/>
                <w:color w:val="1B1B1F"/>
                <w:sz w:val="20"/>
                <w:szCs w:val="20"/>
              </w:rPr>
              <w:t xml:space="preserve">Vendor mgr</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Productivity measurement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Squad lead + DevEx</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Head of Eng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Finance, AI &amp; Automation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Vendor mgr</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Quality and security oversight</w:t>
            </w:r>
          </w:p>
        </w:tc>
        <w:tc>
          <w:tcPr>
            <w:tcMar>
              <w:top w:type="dxa" w:w="80"/>
              <w:left w:type="dxa" w:w="120"/>
              <w:bottom w:type="dxa" w:w="80"/>
              <w:right w:type="dxa" w:w="120"/>
            </w:tcMar>
          </w:tcPr>
          <w:p>
            <w:pPr>
              <w:spacing w:after="40"/>
              <w:jc w:val="center"/>
            </w:pPr>
            <w:r>
              <w:rPr>
                <w:b w:val="false"/>
                <w:bCs w:val="false"/>
                <w:color w:val="1B1B1F"/>
                <w:sz w:val="20"/>
                <w:szCs w:val="20"/>
              </w:rPr>
              <w:t xml:space="preserve">AppSec + reviewers</w:t>
            </w:r>
          </w:p>
        </w:tc>
        <w:tc>
          <w:tcPr>
            <w:tcMar>
              <w:top w:type="dxa" w:w="80"/>
              <w:left w:type="dxa" w:w="120"/>
              <w:bottom w:type="dxa" w:w="80"/>
              <w:right w:type="dxa" w:w="120"/>
            </w:tcMar>
          </w:tcPr>
          <w:p>
            <w:pPr>
              <w:spacing w:after="40"/>
              <w:jc w:val="center"/>
            </w:pPr>
            <w:r>
              <w:rPr>
                <w:b w:val="false"/>
                <w:bCs w:val="false"/>
                <w:color w:val="1B1B1F"/>
                <w:sz w:val="20"/>
                <w:szCs w:val="20"/>
              </w:rPr>
              <w:t xml:space="preserve">CISO</w:t>
            </w:r>
          </w:p>
        </w:tc>
        <w:tc>
          <w:tcPr>
            <w:tcMar>
              <w:top w:type="dxa" w:w="80"/>
              <w:left w:type="dxa" w:w="120"/>
              <w:bottom w:type="dxa" w:w="80"/>
              <w:right w:type="dxa" w:w="120"/>
            </w:tcMar>
          </w:tcPr>
          <w:p>
            <w:pPr>
              <w:spacing w:after="40"/>
              <w:jc w:val="center"/>
            </w:pPr>
            <w:r>
              <w:rPr>
                <w:b w:val="false"/>
                <w:bCs w:val="false"/>
                <w:color w:val="1B1B1F"/>
                <w:sz w:val="20"/>
                <w:szCs w:val="20"/>
              </w:rPr>
              <w:t xml:space="preserve">AI &amp; Automation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Vendor</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Vendor incident response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SOC + AI &amp; Automation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CISO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Vendor mgr, GC</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Commercial review (rate, scope rebase)</w:t>
            </w:r>
          </w:p>
        </w:tc>
        <w:tc>
          <w:tcPr>
            <w:tcMar>
              <w:top w:type="dxa" w:w="80"/>
              <w:left w:type="dxa" w:w="120"/>
              <w:bottom w:type="dxa" w:w="80"/>
              <w:right w:type="dxa" w:w="120"/>
            </w:tcMar>
          </w:tcPr>
          <w:p>
            <w:pPr>
              <w:spacing w:after="40"/>
              <w:jc w:val="center"/>
            </w:pPr>
            <w:r>
              <w:rPr>
                <w:b w:val="false"/>
                <w:bCs w:val="false"/>
                <w:color w:val="1B1B1F"/>
                <w:sz w:val="20"/>
                <w:szCs w:val="20"/>
              </w:rPr>
              <w:t xml:space="preserve">Procurement + Eng VP</w:t>
            </w:r>
          </w:p>
        </w:tc>
        <w:tc>
          <w:tcPr>
            <w:tcMar>
              <w:top w:type="dxa" w:w="80"/>
              <w:left w:type="dxa" w:w="120"/>
              <w:bottom w:type="dxa" w:w="80"/>
              <w:right w:type="dxa" w:w="120"/>
            </w:tcMar>
          </w:tcPr>
          <w:p>
            <w:pPr>
              <w:spacing w:after="40"/>
              <w:jc w:val="center"/>
            </w:pPr>
            <w:r>
              <w:rPr>
                <w:b w:val="false"/>
                <w:bCs w:val="false"/>
                <w:color w:val="1B1B1F"/>
                <w:sz w:val="20"/>
                <w:szCs w:val="20"/>
              </w:rPr>
              <w:t xml:space="preserve">CFO</w:t>
            </w:r>
          </w:p>
        </w:tc>
        <w:tc>
          <w:tcPr>
            <w:tcMar>
              <w:top w:type="dxa" w:w="80"/>
              <w:left w:type="dxa" w:w="120"/>
              <w:bottom w:type="dxa" w:w="80"/>
              <w:right w:type="dxa" w:w="120"/>
            </w:tcMar>
          </w:tcPr>
          <w:p>
            <w:pPr>
              <w:spacing w:after="40"/>
              <w:jc w:val="center"/>
            </w:pPr>
            <w:r>
              <w:rPr>
                <w:b w:val="false"/>
                <w:bCs w:val="false"/>
                <w:color w:val="1B1B1F"/>
                <w:sz w:val="20"/>
                <w:szCs w:val="20"/>
              </w:rPr>
              <w:t xml:space="preserve">Vendor mgr, AI &amp; Automation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ExCo</w:t>
            </w:r>
          </w:p>
        </w:tc>
      </w:tr>
    </w:tbl>
    <w:p>
      <w:pPr>
        <w:pStyle w:val="Heading1"/>
        <w:spacing w:after="160" w:before="360"/>
      </w:pPr>
      <w:r>
        <w:rPr>
          <w:b/>
          <w:bCs/>
          <w:color w:val="1F3864"/>
          <w:sz w:val="30"/>
          <w:szCs w:val="30"/>
        </w:rPr>
        <w:t xml:space="preserve">15. Success Criteria</w:t>
      </w:r>
    </w:p>
    <w:p>
      <w:pPr>
        <w:pStyle w:val="ListParagraph"/>
        <w:numPr>
          <w:ilvl w:val="0"/>
          <w:numId w:val="2"/>
        </w:numPr>
        <w:spacing w:after="80" w:line="280"/>
      </w:pPr>
      <w:r>
        <w:t xml:space="preserve">Pilot exit (Day 90): two vendor squads delivering against the productivity uplift targets in §9.1, with no quality regression and no material incidents.</w:t>
      </w:r>
    </w:p>
    <w:p>
      <w:pPr>
        <w:pStyle w:val="ListParagraph"/>
        <w:numPr>
          <w:ilvl w:val="0"/>
          <w:numId w:val="2"/>
        </w:numPr>
        <w:spacing w:after="80" w:line="280"/>
      </w:pPr>
      <w:r>
        <w:t xml:space="preserve">Year-1 (month 12): all in-scope vendor staff-aug squads using the approved AI tooling, attested AUP at 100%, monthly vendor scorecard standing, productivity uplift of 10–15% measured at squad level.</w:t>
      </w:r>
    </w:p>
    <w:p>
      <w:pPr>
        <w:pStyle w:val="ListParagraph"/>
        <w:numPr>
          <w:ilvl w:val="0"/>
          <w:numId w:val="2"/>
        </w:numPr>
        <w:spacing w:after="80" w:line="280"/>
      </w:pPr>
      <w:r>
        <w:t xml:space="preserve">Commercial: at least 50% of in-scope engagements rebased or rate-reviewed to capture productivity gains; documented value-capture by squad.</w:t>
      </w:r>
    </w:p>
    <w:p>
      <w:pPr>
        <w:pStyle w:val="ListParagraph"/>
        <w:numPr>
          <w:ilvl w:val="0"/>
          <w:numId w:val="2"/>
        </w:numPr>
        <w:spacing w:after="80" w:line="280"/>
      </w:pPr>
      <w:r>
        <w:t xml:space="preserve">Risk: zero P1 vendor-AI incidents; less than 3 P3 vendor-AI incidents per quarter; vendor audit rights exercised at least once per Year-1.</w:t>
      </w:r>
    </w:p>
    <w:p>
      <w:pPr>
        <w:pStyle w:val="Heading1"/>
        <w:spacing w:after="160" w:before="360"/>
      </w:pPr>
      <w:r>
        <w:rPr>
          <w:b/>
          <w:bCs/>
          <w:color w:val="1F3864"/>
          <w:sz w:val="30"/>
          <w:szCs w:val="30"/>
        </w:rPr>
        <w:t xml:space="preserve">Appendix A: Vendor FAQ</w:t>
      </w:r>
    </w:p>
    <w:p>
      <w:pPr>
        <w:pStyle w:val="Heading3"/>
        <w:spacing w:after="80" w:before="160"/>
      </w:pPr>
      <w:r>
        <w:rPr>
          <w:b/>
          <w:bCs/>
          <w:color w:val="1B1B1F"/>
          <w:sz w:val="22"/>
          <w:szCs w:val="22"/>
        </w:rPr>
        <w:t xml:space="preserve">'Can our developers use their own GitHub Copilot subscription if it's faster?'</w:t>
      </w:r>
    </w:p>
    <w:p>
      <w:pPr>
        <w:spacing w:after="120" w:line="300"/>
      </w:pPr>
      <w:r>
        <w:t xml:space="preserve">No. Personal Copilot accounts are blocked at the IDE / repository level. Use the Customer-provisioned Copilot Enterprise seat assigned through the engagement.</w:t>
      </w:r>
    </w:p>
    <w:p>
      <w:pPr>
        <w:pStyle w:val="Heading3"/>
        <w:spacing w:after="80" w:before="160"/>
      </w:pPr>
      <w:r>
        <w:rPr>
          <w:b/>
          <w:bCs/>
          <w:color w:val="1B1B1F"/>
          <w:sz w:val="22"/>
          <w:szCs w:val="22"/>
        </w:rPr>
        <w:t xml:space="preserve">'Can we use ChatGPT to debug a tricky issue if we don't paste any of your code?'</w:t>
      </w:r>
    </w:p>
    <w:p>
      <w:pPr>
        <w:spacing w:after="120" w:line="300"/>
      </w:pPr>
      <w:r>
        <w:t xml:space="preserve">No. The risk of incidental code or context leakage is too high to police. Use the Customer-approved AI tools, which are designed to handle code without training-data leakage.</w:t>
      </w:r>
    </w:p>
    <w:p>
      <w:pPr>
        <w:pStyle w:val="Heading3"/>
        <w:spacing w:after="80" w:before="160"/>
      </w:pPr>
      <w:r>
        <w:rPr>
          <w:b/>
          <w:bCs/>
          <w:color w:val="1B1B1F"/>
          <w:sz w:val="22"/>
          <w:szCs w:val="22"/>
        </w:rPr>
        <w:t xml:space="preserve">'Will productivity gains accrue to us as the vendor or to the Customer?'</w:t>
      </w:r>
    </w:p>
    <w:p>
      <w:pPr>
        <w:spacing w:after="120" w:line="300"/>
      </w:pPr>
      <w:r>
        <w:t xml:space="preserve">Under staff augmentation the Customer captures the gain through reduced hours, increased throughput per squad-month, or scope rebasing. Vendor's value-share comes through scope expansion, longer engagements, and reputation — see §11.</w:t>
      </w:r>
    </w:p>
    <w:p>
      <w:pPr>
        <w:pStyle w:val="Heading3"/>
        <w:spacing w:after="80" w:before="160"/>
      </w:pPr>
      <w:r>
        <w:rPr>
          <w:b/>
          <w:bCs/>
          <w:color w:val="1B1B1F"/>
          <w:sz w:val="22"/>
          <w:szCs w:val="22"/>
        </w:rPr>
        <w:t xml:space="preserve">'What happens if a vendor developer leaves mid-engagement?'</w:t>
      </w:r>
    </w:p>
    <w:p>
      <w:pPr>
        <w:spacing w:after="120" w:line="300"/>
      </w:pPr>
      <w:r>
        <w:t xml:space="preserve">The vendor JML feed (mandatory under the SOW Addendum) triggers identity disablement within 24 hours. Tool entitlement is reclaimed. Replacement personnel onboard via the standard 5-day flow.</w:t>
      </w:r>
    </w:p>
    <w:p>
      <w:pPr>
        <w:pStyle w:val="Heading3"/>
        <w:spacing w:after="80" w:before="160"/>
      </w:pPr>
      <w:r>
        <w:rPr>
          <w:b/>
          <w:bCs/>
          <w:color w:val="1B1B1F"/>
          <w:sz w:val="22"/>
          <w:szCs w:val="22"/>
        </w:rPr>
        <w:t xml:space="preserve">'What if our squad uses a different IDE that doesn't support Copilot Enterprise well?'</w:t>
      </w:r>
    </w:p>
    <w:p>
      <w:pPr>
        <w:spacing w:after="120" w:line="300"/>
      </w:pPr>
      <w:r>
        <w:t xml:space="preserve">Discuss with the Customer DevEx team. The supported IDE list is reviewed quarterly; reasonable additions are accommodated. The Customer-approved tooling stack is the baseline; the IDE is negotiable.</w:t>
      </w:r>
    </w:p>
    <w:p>
      <w:pPr>
        <w:pStyle w:val="Heading3"/>
        <w:spacing w:after="80" w:before="160"/>
      </w:pPr>
      <w:r>
        <w:rPr>
          <w:b/>
          <w:bCs/>
          <w:color w:val="1B1B1F"/>
          <w:sz w:val="22"/>
          <w:szCs w:val="22"/>
        </w:rPr>
        <w:t xml:space="preserve">'Can our developers use AI to write tests, even if they don't use it for production code?'</w:t>
      </w:r>
    </w:p>
    <w:p>
      <w:pPr>
        <w:spacing w:after="120" w:line="300"/>
      </w:pPr>
      <w:r>
        <w:t xml:space="preserve">Yes — and it is encouraged. AI-generated tests still go through PR review and must be meaningful (not coverage padding).</w:t>
      </w:r>
    </w:p>
    <w:p>
      <w:pPr>
        <w:pStyle w:val="Heading3"/>
        <w:spacing w:after="80" w:before="160"/>
      </w:pPr>
      <w:r>
        <w:rPr>
          <w:b/>
          <w:bCs/>
          <w:color w:val="1B1B1F"/>
          <w:sz w:val="22"/>
          <w:szCs w:val="22"/>
        </w:rPr>
        <w:t xml:space="preserve">'Does the AUP apply to subcontractors we use?'</w:t>
      </w:r>
    </w:p>
    <w:p>
      <w:pPr>
        <w:spacing w:after="120" w:line="300"/>
      </w:pPr>
      <w:r>
        <w:t xml:space="preserve">Yes. The SOW Addendum requires flow-down. The Customer holds the vendor accountable for subcontractor compliance and may require named individuals to attest individually.</w:t>
      </w:r>
    </w:p>
    <w:p>
      <w:pPr>
        <w:pStyle w:val="Heading1"/>
        <w:spacing w:after="160" w:before="360"/>
      </w:pPr>
      <w:r>
        <w:rPr>
          <w:b/>
          <w:bCs/>
          <w:color w:val="1F3864"/>
          <w:sz w:val="30"/>
          <w:szCs w:val="30"/>
        </w:rPr>
        <w:t xml:space="preserve">Appendix B: Cross-References</w:t>
      </w:r>
    </w:p>
    <w:p>
      <w:pPr>
        <w:pStyle w:val="ListParagraph"/>
        <w:numPr>
          <w:ilvl w:val="0"/>
          <w:numId w:val="2"/>
        </w:numPr>
        <w:spacing w:after="80" w:line="280"/>
      </w:pPr>
      <w:r>
        <w:t xml:space="preserve">AI Acceptable Use Policy v1.0 — binding for individual vendor developers.</w:t>
      </w:r>
    </w:p>
    <w:p>
      <w:pPr>
        <w:pStyle w:val="ListParagraph"/>
        <w:numPr>
          <w:ilvl w:val="0"/>
          <w:numId w:val="2"/>
        </w:numPr>
        <w:spacing w:after="80" w:line="280"/>
      </w:pPr>
      <w:r>
        <w:t xml:space="preserve">AI Governance Framework v1.0 — registration of any vendor-built AI use case.</w:t>
      </w:r>
    </w:p>
    <w:p>
      <w:pPr>
        <w:pStyle w:val="ListParagraph"/>
        <w:numPr>
          <w:ilvl w:val="0"/>
          <w:numId w:val="2"/>
        </w:numPr>
        <w:spacing w:after="80" w:line="280"/>
      </w:pPr>
      <w:r>
        <w:t xml:space="preserve">AI Control Register v1.0 — Identity &amp; Access (A), Code &amp; IP (F), Activity Monitoring (D).</w:t>
      </w:r>
    </w:p>
    <w:p>
      <w:pPr>
        <w:pStyle w:val="ListParagraph"/>
        <w:numPr>
          <w:ilvl w:val="0"/>
          <w:numId w:val="2"/>
        </w:numPr>
        <w:spacing w:after="80" w:line="280"/>
      </w:pPr>
      <w:r>
        <w:t xml:space="preserve">AI Monitoring &amp; Incident Playbook v1.0 — PB-3, PB-4 most relevant.</w:t>
      </w:r>
    </w:p>
    <w:p>
      <w:pPr>
        <w:pStyle w:val="ListParagraph"/>
        <w:numPr>
          <w:ilvl w:val="0"/>
          <w:numId w:val="2"/>
        </w:numPr>
        <w:spacing w:after="80" w:line="280"/>
      </w:pPr>
      <w:r>
        <w:t xml:space="preserve">AI Vendor &amp; Third-Party DDQ — for any vendor-provided AI tool proposal.</w:t>
      </w:r>
    </w:p>
    <w:p>
      <w:pPr>
        <w:pStyle w:val="ListParagraph"/>
        <w:numPr>
          <w:ilvl w:val="0"/>
          <w:numId w:val="2"/>
        </w:numPr>
        <w:spacing w:after="80" w:line="280"/>
      </w:pPr>
      <w:r>
        <w:t xml:space="preserve">GitHub Copilot Rollout Plan v1.1 — internal-engineer pilot; vendor pilot mirrors structure.</w:t>
      </w:r>
    </w:p>
    <w:p>
      <w:pPr>
        <w:pStyle w:val="ListParagraph"/>
        <w:numPr>
          <w:ilvl w:val="0"/>
          <w:numId w:val="2"/>
        </w:numPr>
        <w:spacing w:after="80" w:line="280"/>
      </w:pPr>
      <w:r>
        <w:t xml:space="preserve">Vendor SOW Addendum v1.0 — contractual companion document.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Vendor AI Acceleration Playbook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AI Acceleration Playbook v1.0</dc:title>
  <dc:creator>Head of AI &amp; Automation + Head of Software Engineering</dc:creator>
  <cp:lastModifiedBy>Un-named</cp:lastModifiedBy>
  <cp:revision>1</cp:revision>
  <dcterms:created xsi:type="dcterms:W3CDTF">2026-04-24T01:39:26.356Z</dcterms:created>
  <dcterms:modified xsi:type="dcterms:W3CDTF">2026-04-24T01:39:26.356Z</dcterms:modified>
</cp:coreProperties>
</file>

<file path=docProps/custom.xml><?xml version="1.0" encoding="utf-8"?>
<Properties xmlns="http://schemas.openxmlformats.org/officeDocument/2006/custom-properties" xmlns:vt="http://schemas.openxmlformats.org/officeDocument/2006/docPropsVTypes"/>
</file>