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MEMORANDUM</w:t>
      </w:r>
    </w:p>
    <w:p>
      <w:pPr>
        <w:spacing w:after="100"/>
      </w:pPr>
      <w:r>
        <w:rPr>
          <w:b/>
          <w:bCs/>
          <w:color w:val="0F1F44"/>
          <w:sz w:val="22"/>
          <w:szCs w:val="22"/>
        </w:rPr>
        <w:t xml:space="preserve">Request for Standing Access to Microsoft Azure AI Foundry — AI &amp; Automation and Engineering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To: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Council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Classification: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Internal  •  Tier 3 (minimal-risk exploration)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From: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Head of AI &amp; Automation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Co-sponsor: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Head of Software Engineering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Date: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[ Date ]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Reference: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AI-COUN-001 / Foundry-Access-Req-1</w:t>
            </w:r>
          </w:p>
        </w:tc>
      </w:tr>
    </w:tbl>
    <w:p>
      <w:pPr>
        <w:spacing w:after="60"/>
      </w:pPr>
    </w:p>
    <w:p>
      <w:pPr>
        <w:pBdr>
          <w:bottom w:val="single" w:color="D9D9D9" w:sz="8" w:space="1"/>
        </w:pBdr>
      </w:pPr>
    </w:p>
    <w:p>
      <w:pPr>
        <w:spacing w:after="60" w:before="160"/>
      </w:pPr>
      <w:r>
        <w:rPr>
          <w:b/>
          <w:bCs/>
          <w:color w:val="0F1F44"/>
          <w:sz w:val="22"/>
          <w:szCs w:val="22"/>
        </w:rPr>
        <w:t xml:space="preserve">1. Purpose</w:t>
      </w:r>
    </w:p>
    <w:p>
      <w:pPr>
        <w:spacing w:after="80" w:line="260"/>
      </w:pPr>
      <w:r>
        <w:rPr>
          <w:sz w:val="20"/>
          <w:szCs w:val="20"/>
        </w:rPr>
        <w:t xml:space="preserve">Council approval is requested for standing access to Microsoft Azure AI Foundry for two named role-holders — the Head of AI &amp; Automation and the Head of Software Engineering. Foundry is a core working tool of these two roles. In parallel, the two role-holders commit to a 60-day initial use period at the end of which a written read-out and a recommended expansion plan for the wider engineering function will be tabled at Council.</w:t>
      </w:r>
    </w:p>
    <w:p>
      <w:pPr>
        <w:spacing w:after="60" w:before="160"/>
      </w:pPr>
      <w:r>
        <w:rPr>
          <w:b/>
          <w:bCs/>
          <w:color w:val="0F1F44"/>
          <w:sz w:val="22"/>
          <w:szCs w:val="22"/>
        </w:rPr>
        <w:t xml:space="preserve">2. Why this is the right next step</w:t>
      </w:r>
    </w:p>
    <w:p>
      <w:pPr>
        <w:spacing w:after="80" w:line="260"/>
      </w:pPr>
      <w:r>
        <w:rPr>
          <w:sz w:val="20"/>
          <w:szCs w:val="20"/>
        </w:rPr>
        <w:t xml:space="preserve">The organisation has mature workstreams, governance and change-management processes already in place. The lowest-risk way to plug AI into those processes is for the two leaders accountable for the outcome — AI &amp; Automation and Software Engineering — to use the tooling firsthand before specifying a broader rollout. This avoids two common failure modes: recommending tools we have not personally pressure-tested, and launching to the wider engineering team without internal champions who can answer their questions credibly. Standing access is requested rather than a time-boxed trial because Foundry is the day-to-day toolchain of these two roles, not an experiment; the 60-day commitment relates to the output (a structured read-out and expansion recommendation), not to the access itself.</w:t>
      </w:r>
    </w:p>
    <w:p>
      <w:pPr>
        <w:spacing w:after="60" w:before="160"/>
      </w:pPr>
      <w:r>
        <w:rPr>
          <w:b/>
          <w:bCs/>
          <w:color w:val="0F1F44"/>
          <w:sz w:val="22"/>
          <w:szCs w:val="22"/>
        </w:rPr>
        <w:t xml:space="preserve">3. Scope and guardrails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82%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Commitment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Two named role-holders only — Head of AI &amp; Automation; Head of Software Engineering. No delegation, no shared accounts. Access tied to the role; a successor inherits, an exit revokes.</w:t>
            </w:r>
          </w:p>
        </w:tc>
      </w:tr>
      <w:tr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Access duration</w:t>
            </w:r>
          </w:p>
        </w:tc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Standing access while in role. Annual review at the AI Council in line with the Framework §14 cadence. Revocable at any time on Council or Chair direction.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Environment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Foundry Dev project in a dedicated subscription only — no Non-Prod or Prod access. Private networking enforced. Production paths require standard intake (Framework §6).</w:t>
            </w:r>
          </w:p>
        </w:tc>
      </w:tr>
      <w:tr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Data</w:t>
            </w:r>
          </w:p>
        </w:tc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Synthetic and publicly available data only. No customer, employee, financial or production data. DPO confirmation on file.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Models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Approved list only: Azure OpenAI (GPT-4.1 / GPT-5 class), Claude Sonnet 4.6, Claude Haiku 4.5. Claude Opus 4.7 enabled with a hard per-day spend cap.</w:t>
            </w:r>
          </w:p>
        </w:tc>
      </w:tr>
      <w:tr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Controls</w:t>
            </w:r>
          </w:p>
        </w:tc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Content safety filters on; Purview sensitivity labels enforced; Defender for Cloud enabled; full activity logging into Sentinel; prompt-shield active.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Spend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Initial cap of $5,000 USD across the first 60 days, billed under the existing MACC — no procurement event required. Run-rate cap reset annually at Council review. Weekly consumption report to Finance and the Council secretary.</w:t>
            </w:r>
          </w:p>
        </w:tc>
      </w:tr>
      <w:tr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60-day output commitment</w:t>
            </w:r>
          </w:p>
        </w:tc>
        <w:tc>
          <w:tcPr>
            <w:shd w:fill="F3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Structured read-out at the next standing Council meeting after Day 60: (i) capability and limitations note; (ii) recommended models by workload; (iii) draft expansion plan for the wider engineering function; (iv) any incidents or near-misses logged in the AI register.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Exit / change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Access revoked on role exit or on Council direction. Any change of scope (new data classes, new environments, additional users) goes through standard Framework §6 intake.</w:t>
            </w:r>
          </w:p>
        </w:tc>
      </w:tr>
    </w:tbl>
    <w:p>
      <w:pPr>
        <w:spacing w:after="60" w:before="160"/>
      </w:pPr>
      <w:r>
        <w:rPr>
          <w:b/>
          <w:bCs/>
          <w:color w:val="0F1F44"/>
          <w:sz w:val="22"/>
          <w:szCs w:val="22"/>
        </w:rPr>
        <w:t xml:space="preserve">4. Risk classification</w:t>
      </w:r>
    </w:p>
    <w:p>
      <w:pPr>
        <w:spacing w:after="80" w:line="260"/>
      </w:pPr>
      <w:r>
        <w:rPr>
          <w:sz w:val="20"/>
          <w:szCs w:val="20"/>
        </w:rPr>
        <w:t xml:space="preserve">Per the AI Governance Framework v1.0 §5, this engagement is classified Tier 3 (minimal risk) — working tooling for two named role-holders on non-sensitive synthetic data, in a Dev environment, with no customer-facing decisioning. It sits within the Chair's delegated approval authority under Framework §6.1, but is brought to Council for visibility and to set the precedent for how role-based AI access is granted, scoped and reviewed.</w:t>
      </w:r>
    </w:p>
    <w:p>
      <w:pPr>
        <w:spacing w:after="60" w:before="160"/>
      </w:pPr>
      <w:r>
        <w:rPr>
          <w:b/>
          <w:bCs/>
          <w:color w:val="0F1F44"/>
          <w:sz w:val="22"/>
          <w:szCs w:val="22"/>
        </w:rPr>
        <w:t xml:space="preserve">5. Decision requested</w:t>
      </w:r>
    </w:p>
    <w:p>
      <w:pPr>
        <w:spacing w:after="80" w:line="260"/>
      </w:pPr>
      <w:r>
        <w:rPr>
          <w:b/>
          <w:bCs/>
          <w:sz w:val="20"/>
          <w:szCs w:val="20"/>
        </w:rPr>
        <w:t xml:space="preserve">The AI Council is asked to: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sz w:val="20"/>
          <w:szCs w:val="20"/>
        </w:rPr>
        <w:t xml:space="preserve">Approve standing Foundry Dev access for the two named role-holders under the scope and guardrails in §3, with annual Council review.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sz w:val="20"/>
          <w:szCs w:val="20"/>
        </w:rPr>
        <w:t xml:space="preserve">Note the $5,000 USD initial 60-day spend cap against the existing MACC envelope (no separate procurement); run-rate cap reset annually.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sz w:val="20"/>
          <w:szCs w:val="20"/>
        </w:rPr>
        <w:t xml:space="preserve">Accept the 60-day output commitment: written read-out and expansion recommendation at the next standing Council meeting after Day 60.</w:t>
      </w:r>
    </w:p>
    <w:p>
      <w:pPr>
        <w:spacing w:after="40" w:before="120"/>
      </w:pPr>
      <w:r>
        <w:rPr>
          <w:b/>
          <w:bCs/>
          <w:color w:val="0F1F44"/>
          <w:sz w:val="22"/>
          <w:szCs w:val="22"/>
        </w:rPr>
        <w:t xml:space="preserve">Approvals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Head of AI &amp; Automation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Signature: ___________________________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Date: ____________</w:t>
            </w:r>
          </w:p>
        </w:tc>
      </w:tr>
      <w:t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Head of Software Engineering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Signature: ___________________________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Date: ____________</w:t>
            </w:r>
          </w:p>
        </w:tc>
      </w:tr>
      <w:t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AI Council Chair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Signature: ___________________________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40"/>
              <w:jc w:val="left"/>
            </w:pPr>
            <w:r>
              <w:rPr>
                <w:b w:val="false"/>
                <w:bCs w:val="false"/>
                <w:color w:val="5A5A66"/>
                <w:sz w:val="18"/>
                <w:szCs w:val="18"/>
              </w:rPr>
              <w:t xml:space="preserve">Date: 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Internal  •  Tier 3 (minimal risk)  •  Reference AI Governance Framework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66"/>
        <w:sz w:val="16"/>
        <w:szCs w:val="16"/>
      </w:rPr>
      <w:t xml:space="preserve">AI Council Memo  •  Foundry Standing Access Request  •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Foundry Exploratory Access Request</dc:title>
  <dc:creator>Head of AI &amp; Automation</dc:creator>
  <cp:lastModifiedBy>Un-named</cp:lastModifiedBy>
  <cp:revision>1</cp:revision>
  <dcterms:created xsi:type="dcterms:W3CDTF">2026-04-23T01:16:04.126Z</dcterms:created>
  <dcterms:modified xsi:type="dcterms:W3CDTF">2026-04-23T01:16:04.127Z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