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48"/>
          <w:szCs w:val="48"/>
        </w:rPr>
        <w:t xml:space="preserve">Sandbox Reference Architecture</w:t>
      </w:r>
    </w:p>
    <w:p>
      <w:pPr>
        <w:spacing w:after="360"/>
        <w:jc w:val="center"/>
      </w:pPr>
      <w:r>
        <w:rPr>
          <w:b/>
          <w:bCs/>
          <w:color w:val="1F3864"/>
          <w:sz w:val="32"/>
          <w:szCs w:val="32"/>
        </w:rPr>
        <w:t xml:space="preserve">for AI-Assisted Software Development</w:t>
      </w:r>
    </w:p>
    <w:p>
      <w:pPr>
        <w:spacing w:after="240"/>
        <w:jc w:val="center"/>
      </w:pPr>
      <w:r>
        <w:rPr>
          <w:color w:val="555555"/>
          <w:sz w:val="24"/>
          <w:szCs w:val="24"/>
        </w:rPr>
        <w:t xml:space="preserve">Microsoft Azure – Azure AI Foundry – GitHub</w:t>
      </w:r>
    </w:p>
    <w:p>
      <w:pPr>
        <w:spacing w:after="1200"/>
        <w:jc w:val="center"/>
      </w:pPr>
      <w:r>
        <w:rPr>
          <w:i/>
          <w:iCs/>
          <w:color w:val="555555"/>
          <w:sz w:val="22"/>
          <w:szCs w:val="22"/>
        </w:rPr>
        <w:t xml:space="preserve">Fintech Reference Deployment</w:t>
      </w:r>
    </w:p>
    <w:p>
      <w:pPr>
        <w:jc w:val="center"/>
      </w:pPr>
      <w:r>
        <w:rPr>
          <w:color w:val="777777"/>
          <w:sz w:val="20"/>
          <w:szCs w:val="20"/>
        </w:rPr>
        <w:t xml:space="preserve">Version 1.0  •  Head of AI &amp; Automation</w:t>
      </w:r>
    </w:p>
    <w:p>
      <w:pPr>
        <w:jc w:val="center"/>
      </w:pPr>
      <w:r>
        <w:rPr>
          <w:color w:val="777777"/>
          <w:sz w:val="20"/>
          <w:szCs w:val="20"/>
        </w:rPr>
        <w:t xml:space="preserve">Classification: Internal</w:t>
      </w:r>
    </w:p>
    <w:p>
      <w:r>
        <w:br w:type="page"/>
      </w:r>
    </w:p>
    <w:p>
      <w:pPr>
        <w:pStyle w:val="Heading1"/>
      </w:pPr>
      <w:r>
        <w:t xml:space="preserve">1. Executive Summary</w:t>
      </w:r>
    </w:p>
    <w:p>
      <w:pPr>
        <w:spacing w:after="120"/>
      </w:pPr>
      <w:r>
        <w:t xml:space="preserve">This document defines the reference architecture for the sandbox and non-production environments that will host AI-assisted software development across the organisation. It is designed to let development teams experiment with AI tooling, generative-AI applications, and bespoke agents at the speed the business expects, while preserving the data-protection, model-risk, and operational-resilience controls that a regulated fintech is held to.</w:t>
      </w:r>
    </w:p>
    <w:p>
      <w:pPr>
        <w:spacing w:after="120"/>
      </w:pPr>
      <w:r>
        <w:t xml:space="preserve">The architecture is built on our approved Microsoft stack. Developer environments are delivered through GitHub Codespaces, Microsoft Dev Box and Azure Deployment Environments. AI experimentation and model deployment run inside Azure AI Foundry hubs and projects. All of this sits within an Azure landing zone whose controls are enforced automatically via Azure Policy, Microsoft Entra ID, Microsoft Purview and Microsoft Defender for Cloud.</w:t>
      </w:r>
    </w:p>
    <w:p>
      <w:pPr>
        <w:spacing w:after="120"/>
      </w:pPr>
      <w:r>
        <w:t xml:space="preserve">The design intent is opinionated: the paved road should be the fastest and easiest path for engineers, so that shadow IT and shadow AI have no reason to exist. Every sandbox is time-bound, cost-capped, identity-gated, network-segmented, and isolated from production customer data. No production data ever enters a sandbox; synthetic or masked datasets are provided through a governed pipeline.</w:t>
      </w:r>
    </w:p>
    <w:p>
      <w:pPr>
        <w:pStyle w:val="Heading1"/>
      </w:pPr>
      <w:r>
        <w:t xml:space="preserve">2. Objectives and Design Principles</w:t>
      </w:r>
    </w:p>
    <w:p>
      <w:pPr>
        <w:pStyle w:val="Heading2"/>
      </w:pPr>
      <w:r>
        <w:t xml:space="preserve">2.1 Objectives</w:t>
      </w:r>
    </w:p>
    <w:p>
      <w:pPr>
        <w:pStyle w:val="ListParagraph"/>
        <w:numPr>
          <w:ilvl w:val="0"/>
          <w:numId w:val="2"/>
        </w:numPr>
      </w:pPr>
      <w:r>
        <w:t xml:space="preserve">Enable self-service provisioning of development and AI experimentation environments in under 10 minutes.</w:t>
      </w:r>
    </w:p>
    <w:p>
      <w:pPr>
        <w:pStyle w:val="ListParagraph"/>
        <w:numPr>
          <w:ilvl w:val="0"/>
          <w:numId w:val="2"/>
        </w:numPr>
      </w:pPr>
      <w:r>
        <w:t xml:space="preserve">Eliminate shadow AI by providing a sanctioned path that is faster than unsanctioned alternatives.</w:t>
      </w:r>
    </w:p>
    <w:p>
      <w:pPr>
        <w:pStyle w:val="ListParagraph"/>
        <w:numPr>
          <w:ilvl w:val="0"/>
          <w:numId w:val="2"/>
        </w:numPr>
      </w:pPr>
      <w:r>
        <w:t xml:space="preserve">Contain blast radius - sandboxes cannot reach production data, production networks, or unapproved model providers.</w:t>
      </w:r>
    </w:p>
    <w:p>
      <w:pPr>
        <w:pStyle w:val="ListParagraph"/>
        <w:numPr>
          <w:ilvl w:val="0"/>
          <w:numId w:val="2"/>
        </w:numPr>
      </w:pPr>
      <w:r>
        <w:t xml:space="preserve">Satisfy model-risk, data-protection and third-party controls expected by financial regulators across our operating markets.</w:t>
      </w:r>
    </w:p>
    <w:p>
      <w:pPr>
        <w:pStyle w:val="ListParagraph"/>
        <w:numPr>
          <w:ilvl w:val="0"/>
          <w:numId w:val="2"/>
        </w:numPr>
      </w:pPr>
      <w:r>
        <w:t xml:space="preserve">Provide a clean evidence trail for auditors: who provisioned what, what data was used, what models were evaluated, who approved deployment.</w:t>
      </w:r>
    </w:p>
    <w:p>
      <w:pPr>
        <w:pStyle w:val="Heading2"/>
      </w:pPr>
      <w:r>
        <w:t xml:space="preserve">2.2 Design Principles</w:t>
      </w:r>
    </w:p>
    <w:p>
      <w:pPr>
        <w:pStyle w:val="ListParagraph"/>
        <w:numPr>
          <w:ilvl w:val="0"/>
          <w:numId w:val="2"/>
        </w:numPr>
      </w:pPr>
      <w:r>
        <w:rPr>
          <w:b/>
          <w:bCs/>
        </w:rPr>
        <w:t xml:space="preserve">Secure by default. </w:t>
      </w:r>
      <w:r>
        <w:t xml:space="preserve">Guardrails are enforced at the platform layer, not left to the developer. Policy violations fail at deployment time, not in production.</w:t>
      </w:r>
    </w:p>
    <w:p>
      <w:pPr>
        <w:pStyle w:val="ListParagraph"/>
        <w:numPr>
          <w:ilvl w:val="0"/>
          <w:numId w:val="2"/>
        </w:numPr>
      </w:pPr>
      <w:r>
        <w:rPr>
          <w:b/>
          <w:bCs/>
        </w:rPr>
        <w:t xml:space="preserve">Ephemeral by default. </w:t>
      </w:r>
      <w:r>
        <w:t xml:space="preserve">Every sandbox has an expiry date. Long-lived environments require explicit justification and approval.</w:t>
      </w:r>
    </w:p>
    <w:p>
      <w:pPr>
        <w:pStyle w:val="ListParagraph"/>
        <w:numPr>
          <w:ilvl w:val="0"/>
          <w:numId w:val="2"/>
        </w:numPr>
      </w:pPr>
      <w:r>
        <w:rPr>
          <w:b/>
          <w:bCs/>
        </w:rPr>
        <w:t xml:space="preserve">Least privilege and just-in-time. </w:t>
      </w:r>
      <w:r>
        <w:t xml:space="preserve">Elevated access is granted through Entra PIM for a bounded window and recorded.</w:t>
      </w:r>
    </w:p>
    <w:p>
      <w:pPr>
        <w:pStyle w:val="ListParagraph"/>
        <w:numPr>
          <w:ilvl w:val="0"/>
          <w:numId w:val="2"/>
        </w:numPr>
      </w:pPr>
      <w:r>
        <w:rPr>
          <w:b/>
          <w:bCs/>
        </w:rPr>
        <w:t xml:space="preserve">Data stays where it belongs. </w:t>
      </w:r>
      <w:r>
        <w:t xml:space="preserve">Sandboxes consume synthetic or masked data only; egress to external model providers is allow-listed.</w:t>
      </w:r>
    </w:p>
    <w:p>
      <w:pPr>
        <w:pStyle w:val="ListParagraph"/>
        <w:numPr>
          <w:ilvl w:val="0"/>
          <w:numId w:val="2"/>
        </w:numPr>
      </w:pPr>
      <w:r>
        <w:rPr>
          <w:b/>
          <w:bCs/>
        </w:rPr>
        <w:t xml:space="preserve">Observable. </w:t>
      </w:r>
      <w:r>
        <w:t xml:space="preserve">Every environment emits telemetry to a central log estate so that drift, cost and misuse are visible.</w:t>
      </w:r>
    </w:p>
    <w:p>
      <w:pPr>
        <w:pStyle w:val="ListParagraph"/>
        <w:numPr>
          <w:ilvl w:val="0"/>
          <w:numId w:val="2"/>
        </w:numPr>
      </w:pPr>
      <w:r>
        <w:rPr>
          <w:b/>
          <w:bCs/>
        </w:rPr>
        <w:t xml:space="preserve">Paved road over picket fences. </w:t>
      </w:r>
      <w:r>
        <w:t xml:space="preserve">The sanctioned path is the fastest path; controls succeed because they are easier to follow than to work around.</w:t>
      </w:r>
    </w:p>
    <w:p>
      <w:r>
        <w:br w:type="page"/>
      </w:r>
    </w:p>
    <w:p>
      <w:pPr>
        <w:pStyle w:val="Heading1"/>
      </w:pPr>
      <w:r>
        <w:t xml:space="preserve">3. Reference Architecture Overview</w:t>
      </w:r>
    </w:p>
    <w:p>
      <w:pPr>
        <w:spacing w:after="120"/>
      </w:pPr>
      <w:r>
        <w:t xml:space="preserve">The sandbox estate is organised as four complementary environment types, each solving a different problem. All four are governed by the same identity, data, and policy planes.</w:t>
      </w:r>
    </w:p>
    <w:p>
      <w:pPr>
        <w:pStyle w:val="Heading2"/>
      </w:pPr>
      <w:r>
        <w:t xml:space="preserve">3.1 Environment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Environment</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When to use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Backed by</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Typical lifespan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GitHub Codespaces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Ephemeral dev container tied to a repo. Fast onboarding, branch try-outs, reproducible builds.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GitHub Enterprise Cloud; devcontainer.json in repo.</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Hours to days; idle auto-stop.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Microsoft Dev Box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Managed cloud Windows workstation for full IDE use, locked to corporate identity and posture.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Dev Center + project pools; Entra-joined.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Weeks to months; right-sized on demand.</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Azure Deployment Environment (ADE)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Templated application sandbox (AKS, App Service, databases, networking). Self-serve from a curated catalogue.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Dev Center catalogue of ARM/Bicep/Terraform templates.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Days to weeks; auto-expire.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Azure AI Foundry Project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 experimentation - model catalogue, prompt flow, evaluations, agents. Isolated inside a governed hub.</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Foundry hub (shared security) + per-team project (workspace).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Project-bound; inactive cleanup.</w:t>
            </w:r>
          </w:p>
        </w:tc>
      </w:tr>
    </w:tbl>
    <w:p>
      <w:r>
        <w:t xml:space="preserve"/>
      </w:r>
    </w:p>
    <w:p>
      <w:pPr>
        <w:pStyle w:val="Heading2"/>
      </w:pPr>
      <w:r>
        <w:t xml:space="preserve">3.2 Layered View</w:t>
      </w:r>
    </w:p>
    <w:p>
      <w:pPr>
        <w:spacing w:after="120"/>
      </w:pPr>
      <w:r>
        <w:t xml:space="preserve">The architecture is organised as seven layers, each with clear ownership:</w:t>
      </w:r>
    </w:p>
    <w:p>
      <w:pPr>
        <w:pStyle w:val="ListParagraph"/>
        <w:numPr>
          <w:ilvl w:val="0"/>
          <w:numId w:val="2"/>
        </w:numPr>
      </w:pPr>
      <w:r>
        <w:rPr>
          <w:b/>
          <w:bCs/>
        </w:rPr>
        <w:t xml:space="preserve">Platform layer: </w:t>
      </w:r>
      <w:r>
        <w:t xml:space="preserve">Azure landing zone, management groups, subscription vending, networking, key management, logging.</w:t>
      </w:r>
    </w:p>
    <w:p>
      <w:pPr>
        <w:pStyle w:val="ListParagraph"/>
        <w:numPr>
          <w:ilvl w:val="0"/>
          <w:numId w:val="2"/>
        </w:numPr>
      </w:pPr>
      <w:r>
        <w:rPr>
          <w:b/>
          <w:bCs/>
        </w:rPr>
        <w:t xml:space="preserve">Identity and access layer: </w:t>
      </w:r>
      <w:r>
        <w:t xml:space="preserve">Microsoft Entra ID, conditional access, PIM, workload identities.</w:t>
      </w:r>
    </w:p>
    <w:p>
      <w:pPr>
        <w:pStyle w:val="ListParagraph"/>
        <w:numPr>
          <w:ilvl w:val="0"/>
          <w:numId w:val="2"/>
        </w:numPr>
      </w:pPr>
      <w:r>
        <w:rPr>
          <w:b/>
          <w:bCs/>
        </w:rPr>
        <w:t xml:space="preserve">Data and governance layer: </w:t>
      </w:r>
      <w:r>
        <w:t xml:space="preserve">Microsoft Purview catalogue, sensitivity labels, DLP, synthetic data service.</w:t>
      </w:r>
    </w:p>
    <w:p>
      <w:pPr>
        <w:pStyle w:val="ListParagraph"/>
        <w:numPr>
          <w:ilvl w:val="0"/>
          <w:numId w:val="2"/>
        </w:numPr>
      </w:pPr>
      <w:r>
        <w:rPr>
          <w:b/>
          <w:bCs/>
        </w:rPr>
        <w:t xml:space="preserve">Compute layer: </w:t>
      </w:r>
      <w:r>
        <w:t xml:space="preserve">AKS, App Service, Container Apps, Azure Functions, Foundry compute.</w:t>
      </w:r>
    </w:p>
    <w:p>
      <w:pPr>
        <w:pStyle w:val="ListParagraph"/>
        <w:numPr>
          <w:ilvl w:val="0"/>
          <w:numId w:val="2"/>
        </w:numPr>
      </w:pPr>
      <w:r>
        <w:rPr>
          <w:b/>
          <w:bCs/>
        </w:rPr>
        <w:t xml:space="preserve">AI platform layer: </w:t>
      </w:r>
      <w:r>
        <w:t xml:space="preserve">Azure AI Foundry hub, project, model catalogue, evaluations, content safety.</w:t>
      </w:r>
    </w:p>
    <w:p>
      <w:pPr>
        <w:pStyle w:val="ListParagraph"/>
        <w:numPr>
          <w:ilvl w:val="0"/>
          <w:numId w:val="2"/>
        </w:numPr>
      </w:pPr>
      <w:r>
        <w:rPr>
          <w:b/>
          <w:bCs/>
        </w:rPr>
        <w:t xml:space="preserve">Developer experience layer: </w:t>
      </w:r>
      <w:r>
        <w:t xml:space="preserve">Codespaces, Dev Box, ADE catalogue, GitHub Copilot, Visual Studio, VS Code.</w:t>
      </w:r>
    </w:p>
    <w:p>
      <w:pPr>
        <w:pStyle w:val="ListParagraph"/>
        <w:numPr>
          <w:ilvl w:val="0"/>
          <w:numId w:val="2"/>
        </w:numPr>
      </w:pPr>
      <w:r>
        <w:rPr>
          <w:b/>
          <w:bCs/>
        </w:rPr>
        <w:t xml:space="preserve">Observability layer: </w:t>
      </w:r>
      <w:r>
        <w:t xml:space="preserve">Azure Monitor, Log Analytics, Microsoft Sentinel, Defender for Cloud, Cost Management.</w:t>
      </w:r>
    </w:p>
    <w:p>
      <w:r>
        <w:br w:type="page"/>
      </w:r>
    </w:p>
    <w:p>
      <w:pPr>
        <w:pStyle w:val="Heading1"/>
      </w:pPr>
      <w:r>
        <w:t xml:space="preserve">4. Azure Tenant and Subscription Topology</w:t>
      </w:r>
    </w:p>
    <w:p>
      <w:pPr>
        <w:spacing w:after="120"/>
      </w:pPr>
      <w:r>
        <w:t xml:space="preserve">All non-production AI and developer activity lives under a dedicated management group hierarchy that is isolated from production. This separation is the single most important control in the architecture: it makes it structurally impossible for a sandbox mistake to impact a customer.</w:t>
      </w:r>
    </w:p>
    <w:p>
      <w:pPr>
        <w:pStyle w:val="Heading2"/>
      </w:pPr>
      <w:r>
        <w:t xml:space="preserve">4.1 Management Group Hierarchy</w:t>
      </w:r>
    </w:p>
    <w:p>
      <w:pPr>
        <w:pStyle w:val="ListParagraph"/>
        <w:numPr>
          <w:ilvl w:val="0"/>
          <w:numId w:val="2"/>
        </w:numPr>
      </w:pPr>
      <w:r>
        <w:t xml:space="preserve">Tenant Root</w:t>
      </w:r>
    </w:p>
    <w:p>
      <w:pPr>
        <w:pStyle w:val="ListParagraph"/>
        <w:numPr>
          <w:ilvl w:val="1"/>
          <w:numId w:val="2"/>
        </w:numPr>
      </w:pPr>
      <w:r>
        <w:t xml:space="preserve">Platform - shared services, connectivity, identity, management</w:t>
      </w:r>
    </w:p>
    <w:p>
      <w:pPr>
        <w:pStyle w:val="ListParagraph"/>
        <w:numPr>
          <w:ilvl w:val="1"/>
          <w:numId w:val="2"/>
        </w:numPr>
      </w:pPr>
      <w:r>
        <w:t xml:space="preserve">Landing Zones - production workloads</w:t>
      </w:r>
    </w:p>
    <w:p>
      <w:pPr>
        <w:pStyle w:val="ListParagraph"/>
        <w:numPr>
          <w:ilvl w:val="2"/>
          <w:numId w:val="2"/>
        </w:numPr>
      </w:pPr>
      <w:r>
        <w:t xml:space="preserve">Corp (connected)</w:t>
      </w:r>
    </w:p>
    <w:p>
      <w:pPr>
        <w:pStyle w:val="ListParagraph"/>
        <w:numPr>
          <w:ilvl w:val="2"/>
          <w:numId w:val="2"/>
        </w:numPr>
      </w:pPr>
      <w:r>
        <w:t xml:space="preserve">Online (internet-facing)</w:t>
      </w:r>
    </w:p>
    <w:p>
      <w:pPr>
        <w:pStyle w:val="ListParagraph"/>
        <w:numPr>
          <w:ilvl w:val="1"/>
          <w:numId w:val="2"/>
        </w:numPr>
      </w:pPr>
      <w:r>
        <w:t xml:space="preserve">Sandboxes - non-production, time-bound</w:t>
      </w:r>
    </w:p>
    <w:p>
      <w:pPr>
        <w:pStyle w:val="ListParagraph"/>
        <w:numPr>
          <w:ilvl w:val="2"/>
          <w:numId w:val="2"/>
        </w:numPr>
      </w:pPr>
      <w:r>
        <w:t xml:space="preserve">Dev - team development subscriptions</w:t>
      </w:r>
    </w:p>
    <w:p>
      <w:pPr>
        <w:pStyle w:val="ListParagraph"/>
        <w:numPr>
          <w:ilvl w:val="2"/>
          <w:numId w:val="2"/>
        </w:numPr>
      </w:pPr>
      <w:r>
        <w:t xml:space="preserve">AI-Experiments - Foundry hubs and project subscriptions</w:t>
      </w:r>
    </w:p>
    <w:p>
      <w:pPr>
        <w:pStyle w:val="ListParagraph"/>
        <w:numPr>
          <w:ilvl w:val="2"/>
          <w:numId w:val="2"/>
        </w:numPr>
      </w:pPr>
      <w:r>
        <w:t xml:space="preserve">Individual - per-engineer playground (low spend cap)</w:t>
      </w:r>
    </w:p>
    <w:p>
      <w:pPr>
        <w:pStyle w:val="ListParagraph"/>
        <w:numPr>
          <w:ilvl w:val="1"/>
          <w:numId w:val="2"/>
        </w:numPr>
      </w:pPr>
      <w:r>
        <w:t xml:space="preserve">Decommissioned - retired subscriptions held for audit</w:t>
      </w:r>
    </w:p>
    <w:p>
      <w:pPr>
        <w:pStyle w:val="Heading2"/>
      </w:pPr>
      <w:r>
        <w:t xml:space="preserve">4.2 Subscription Vending</w:t>
      </w:r>
    </w:p>
    <w:p>
      <w:pPr>
        <w:spacing w:after="120"/>
      </w:pPr>
      <w:r>
        <w:t xml:space="preserve">Subscriptions are never requested by ticket. They are vended by an automated pipeline triggered from a self-service portal. The vending pipeline attaches the subscription to the correct management group, applies the baseline policy initiative, tags the subscription with owner, cost-centre and expiry date, and registers it in the central subscription inventory.</w:t>
      </w:r>
    </w:p>
    <w:p>
      <w:pPr>
        <w:pStyle w:val="Heading2"/>
      </w:pPr>
      <w:r>
        <w:t xml:space="preserve">4.3 Isolation Rules</w:t>
      </w:r>
    </w:p>
    <w:p>
      <w:pPr>
        <w:pStyle w:val="ListParagraph"/>
        <w:numPr>
          <w:ilvl w:val="0"/>
          <w:numId w:val="2"/>
        </w:numPr>
      </w:pPr>
      <w:r>
        <w:t xml:space="preserve">Sandbox subscriptions cannot peer with production virtual networks.</w:t>
      </w:r>
    </w:p>
    <w:p>
      <w:pPr>
        <w:pStyle w:val="ListParagraph"/>
        <w:numPr>
          <w:ilvl w:val="0"/>
          <w:numId w:val="2"/>
        </w:numPr>
      </w:pPr>
      <w:r>
        <w:t xml:space="preserve">Outbound egress is routed through the central firewall with an allow-list of approved destinations.</w:t>
      </w:r>
    </w:p>
    <w:p>
      <w:pPr>
        <w:pStyle w:val="ListParagraph"/>
        <w:numPr>
          <w:ilvl w:val="0"/>
          <w:numId w:val="2"/>
        </w:numPr>
      </w:pPr>
      <w:r>
        <w:t xml:space="preserve">No production data stores are reachable from sandbox private endpoints.</w:t>
      </w:r>
    </w:p>
    <w:p>
      <w:pPr>
        <w:pStyle w:val="ListParagraph"/>
        <w:numPr>
          <w:ilvl w:val="0"/>
          <w:numId w:val="2"/>
        </w:numPr>
      </w:pPr>
      <w:r>
        <w:t xml:space="preserve">Cross-subscription role assignments into production are explicitly denied.</w:t>
      </w:r>
    </w:p>
    <w:p>
      <w:r>
        <w:br w:type="page"/>
      </w:r>
    </w:p>
    <w:p>
      <w:pPr>
        <w:pStyle w:val="Heading1"/>
      </w:pPr>
      <w:r>
        <w:t xml:space="preserve">5. Governance and Policy Guardrails</w:t>
      </w:r>
    </w:p>
    <w:p>
      <w:pPr>
        <w:spacing w:after="120"/>
      </w:pPr>
      <w:r>
        <w:t xml:space="preserve">Controls are enforced through an Azure Policy initiative assigned at the Sandboxes management group. Developers see policy failures as clear deployment errors, not as a security team interrupting their work.</w:t>
      </w:r>
    </w:p>
    <w:p>
      <w:pPr>
        <w:pStyle w:val="Heading2"/>
      </w:pPr>
      <w:r>
        <w:t xml:space="preserve">5.1 Policy Initiative: Sandbox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Control</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Policy effect</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Effect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No public IP on compute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 creation of public IPs on VMs, AKS node pools and App Service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Mandatory tagging</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Owner, cost-centre, project, expiry, data-class - all required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Allowed regions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Restrict deployment to regions that satisfy data-residency obligations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Allowed SKUs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Restrict to non-GPU SKUs by default; GPU requires explicit exception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Encryption at rest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Customer-managed keys for storage, SQL, Cosmos, Key Vault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Private endpoints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Storage, Key Vault and databases must use private endpoints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Disk encryption on VMs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Host-based encryption enforced for all VM and VMSS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Deny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Diagnostic settings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Auto-configure diagnostic settings to central Log Analytics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DeployIfNotExists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Defender for Cloud plans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Ensure Defender is enabled across all resource types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DeployIfNotExists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Model provider egress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Egress to generative-AI endpoints allowed only via Foundry or gateway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Audit + firewall rule</w:t>
            </w:r>
          </w:p>
        </w:tc>
      </w:tr>
    </w:tbl>
    <w:p>
      <w:r>
        <w:t xml:space="preserve"/>
      </w:r>
    </w:p>
    <w:p>
      <w:pPr>
        <w:pStyle w:val="Heading2"/>
      </w:pPr>
      <w:r>
        <w:t xml:space="preserve">5.2 Tagging Schema</w:t>
      </w:r>
    </w:p>
    <w:p>
      <w:pPr>
        <w:spacing w:after="120"/>
      </w:pPr>
      <w:r>
        <w:t xml:space="preserve">Every sandbox resource is tagged at creation. Missing tags cause deployment to fail. Expiry drives the clean-up runbook.</w:t>
      </w:r>
    </w:p>
    <w:p>
      <w:pPr>
        <w:pStyle w:val="ListParagraph"/>
        <w:numPr>
          <w:ilvl w:val="0"/>
          <w:numId w:val="2"/>
        </w:numPr>
      </w:pPr>
      <w:r>
        <w:t xml:space="preserve">Owner - Entra UPN of the responsible engineer.</w:t>
      </w:r>
    </w:p>
    <w:p>
      <w:pPr>
        <w:pStyle w:val="ListParagraph"/>
        <w:numPr>
          <w:ilvl w:val="0"/>
          <w:numId w:val="2"/>
        </w:numPr>
      </w:pPr>
      <w:r>
        <w:t xml:space="preserve">CostCentre - finance code used for show-back.</w:t>
      </w:r>
    </w:p>
    <w:p>
      <w:pPr>
        <w:pStyle w:val="ListParagraph"/>
        <w:numPr>
          <w:ilvl w:val="0"/>
          <w:numId w:val="2"/>
        </w:numPr>
      </w:pPr>
      <w:r>
        <w:t xml:space="preserve">Project - business project identifier.</w:t>
      </w:r>
    </w:p>
    <w:p>
      <w:pPr>
        <w:pStyle w:val="ListParagraph"/>
        <w:numPr>
          <w:ilvl w:val="0"/>
          <w:numId w:val="2"/>
        </w:numPr>
      </w:pPr>
      <w:r>
        <w:t xml:space="preserve">Expiry - ISO date after which automated tear-down runs.</w:t>
      </w:r>
    </w:p>
    <w:p>
      <w:pPr>
        <w:pStyle w:val="ListParagraph"/>
        <w:numPr>
          <w:ilvl w:val="0"/>
          <w:numId w:val="2"/>
        </w:numPr>
      </w:pPr>
      <w:r>
        <w:t xml:space="preserve">DataClass - Public, Internal, Confidential, Restricted (sandbox ceiling is Internal).</w:t>
      </w:r>
    </w:p>
    <w:p>
      <w:pPr>
        <w:pStyle w:val="ListParagraph"/>
        <w:numPr>
          <w:ilvl w:val="0"/>
          <w:numId w:val="2"/>
        </w:numPr>
      </w:pPr>
      <w:r>
        <w:t xml:space="preserve">AIUseCase - registered use-case ID (required for any Foundry project).</w:t>
      </w:r>
    </w:p>
    <w:p>
      <w:pPr>
        <w:pStyle w:val="Heading2"/>
      </w:pPr>
      <w:r>
        <w:t xml:space="preserve">5.3 Cost Guardrails</w:t>
      </w:r>
    </w:p>
    <w:p>
      <w:pPr>
        <w:pStyle w:val="ListParagraph"/>
        <w:numPr>
          <w:ilvl w:val="0"/>
          <w:numId w:val="2"/>
        </w:numPr>
      </w:pPr>
      <w:r>
        <w:t xml:space="preserve">Subscription budget with alerts at 50%, 80%, 100%.</w:t>
      </w:r>
    </w:p>
    <w:p>
      <w:pPr>
        <w:pStyle w:val="ListParagraph"/>
        <w:numPr>
          <w:ilvl w:val="0"/>
          <w:numId w:val="2"/>
        </w:numPr>
      </w:pPr>
      <w:r>
        <w:t xml:space="preserve">At 100%, Azure Policy disables further resource creation and non-critical compute is suspended.</w:t>
      </w:r>
    </w:p>
    <w:p>
      <w:pPr>
        <w:pStyle w:val="ListParagraph"/>
        <w:numPr>
          <w:ilvl w:val="0"/>
          <w:numId w:val="2"/>
        </w:numPr>
      </w:pPr>
      <w:r>
        <w:t xml:space="preserve">Individual playgrounds carry a hard monthly cap set by the AI Council.</w:t>
      </w:r>
    </w:p>
    <w:p>
      <w:pPr>
        <w:pStyle w:val="ListParagraph"/>
        <w:numPr>
          <w:ilvl w:val="0"/>
          <w:numId w:val="2"/>
        </w:numPr>
      </w:pPr>
      <w:r>
        <w:t xml:space="preserve">GPU quota requires a named justification and is time-bound.</w:t>
      </w:r>
    </w:p>
    <w:p>
      <w:r>
        <w:br w:type="page"/>
      </w:r>
    </w:p>
    <w:p>
      <w:pPr>
        <w:pStyle w:val="Heading1"/>
      </w:pPr>
      <w:r>
        <w:t xml:space="preserve">6. Identity, Access and Network</w:t>
      </w:r>
    </w:p>
    <w:p>
      <w:pPr>
        <w:pStyle w:val="Heading2"/>
      </w:pPr>
      <w:r>
        <w:t xml:space="preserve">6.1 Identity</w:t>
      </w:r>
    </w:p>
    <w:p>
      <w:pPr>
        <w:pStyle w:val="ListParagraph"/>
        <w:numPr>
          <w:ilvl w:val="0"/>
          <w:numId w:val="2"/>
        </w:numPr>
      </w:pPr>
      <w:r>
        <w:t xml:space="preserve">All human access via Microsoft Entra ID with phishing-resistant MFA.</w:t>
      </w:r>
    </w:p>
    <w:p>
      <w:pPr>
        <w:pStyle w:val="ListParagraph"/>
        <w:numPr>
          <w:ilvl w:val="0"/>
          <w:numId w:val="2"/>
        </w:numPr>
      </w:pPr>
      <w:r>
        <w:t xml:space="preserve">Privileged roles (Contributor and above on sandbox subscriptions) granted through PIM with a maximum 8-hour window.</w:t>
      </w:r>
    </w:p>
    <w:p>
      <w:pPr>
        <w:pStyle w:val="ListParagraph"/>
        <w:numPr>
          <w:ilvl w:val="0"/>
          <w:numId w:val="2"/>
        </w:numPr>
      </w:pPr>
      <w:r>
        <w:t xml:space="preserve">Workload identities (managed identities and workload federated credentials) are always preferred over secrets.</w:t>
      </w:r>
    </w:p>
    <w:p>
      <w:pPr>
        <w:pStyle w:val="ListParagraph"/>
        <w:numPr>
          <w:ilvl w:val="0"/>
          <w:numId w:val="2"/>
        </w:numPr>
      </w:pPr>
      <w:r>
        <w:t xml:space="preserve">Copilot, Foundry and ADE access gated by conditional access policies: compliant device, trusted location, MFA.</w:t>
      </w:r>
    </w:p>
    <w:p>
      <w:pPr>
        <w:pStyle w:val="Heading2"/>
      </w:pPr>
      <w:r>
        <w:t xml:space="preserve">6.2 Access Patterns</w:t>
      </w:r>
    </w:p>
    <w:p>
      <w:pPr>
        <w:pStyle w:val="ListParagraph"/>
        <w:numPr>
          <w:ilvl w:val="0"/>
          <w:numId w:val="2"/>
        </w:numPr>
      </w:pPr>
      <w:r>
        <w:t xml:space="preserve">Engineers: Reader at subscription, Contributor at resource-group level of their own sandbox.</w:t>
      </w:r>
    </w:p>
    <w:p>
      <w:pPr>
        <w:pStyle w:val="ListParagraph"/>
        <w:numPr>
          <w:ilvl w:val="0"/>
          <w:numId w:val="2"/>
        </w:numPr>
      </w:pPr>
      <w:r>
        <w:t xml:space="preserve">Tech leads: Contributor at team subscription for the active sprint, via PIM.</w:t>
      </w:r>
    </w:p>
    <w:p>
      <w:pPr>
        <w:pStyle w:val="ListParagraph"/>
        <w:numPr>
          <w:ilvl w:val="0"/>
          <w:numId w:val="2"/>
        </w:numPr>
      </w:pPr>
      <w:r>
        <w:t xml:space="preserve">Platform engineers: Owner at the Sandboxes management group, via PIM, with break-glass logged.</w:t>
      </w:r>
    </w:p>
    <w:p>
      <w:pPr>
        <w:pStyle w:val="ListParagraph"/>
        <w:numPr>
          <w:ilvl w:val="0"/>
          <w:numId w:val="2"/>
        </w:numPr>
      </w:pPr>
      <w:r>
        <w:t xml:space="preserve">No standing Owner roles on sandbox subscriptions.</w:t>
      </w:r>
    </w:p>
    <w:p>
      <w:pPr>
        <w:pStyle w:val="Heading2"/>
      </w:pPr>
      <w:r>
        <w:t xml:space="preserve">6.3 Network</w:t>
      </w:r>
    </w:p>
    <w:p>
      <w:pPr>
        <w:spacing w:after="120"/>
      </w:pPr>
      <w:r>
        <w:t xml:space="preserve">All sandbox virtual networks are spoked off a non-production hub. The hub hosts a central Azure Firewall, DNS, and egress points. There is no peering to production hubs.</w:t>
      </w:r>
    </w:p>
    <w:p>
      <w:pPr>
        <w:pStyle w:val="ListParagraph"/>
        <w:numPr>
          <w:ilvl w:val="0"/>
          <w:numId w:val="2"/>
        </w:numPr>
      </w:pPr>
      <w:r>
        <w:t xml:space="preserve">Private endpoints for PaaS data services.</w:t>
      </w:r>
    </w:p>
    <w:p>
      <w:pPr>
        <w:pStyle w:val="ListParagraph"/>
        <w:numPr>
          <w:ilvl w:val="0"/>
          <w:numId w:val="2"/>
        </w:numPr>
      </w:pPr>
      <w:r>
        <w:t xml:space="preserve">Service endpoints blocked in favour of private endpoints.</w:t>
      </w:r>
    </w:p>
    <w:p>
      <w:pPr>
        <w:pStyle w:val="ListParagraph"/>
        <w:numPr>
          <w:ilvl w:val="0"/>
          <w:numId w:val="2"/>
        </w:numPr>
      </w:pPr>
      <w:r>
        <w:t xml:space="preserve">Egress allow-list includes: GitHub, Azure public services, approved model providers, approved package registries.</w:t>
      </w:r>
    </w:p>
    <w:p>
      <w:pPr>
        <w:pStyle w:val="ListParagraph"/>
        <w:numPr>
          <w:ilvl w:val="0"/>
          <w:numId w:val="2"/>
        </w:numPr>
      </w:pPr>
      <w:r>
        <w:t xml:space="preserve">Web traffic logged and retained for 90 days; DNS queries logged to Sentinel.</w:t>
      </w:r>
    </w:p>
    <w:p>
      <w:r>
        <w:br w:type="page"/>
      </w:r>
    </w:p>
    <w:p>
      <w:pPr>
        <w:pStyle w:val="Heading1"/>
      </w:pPr>
      <w:r>
        <w:t xml:space="preserve">7. Data Handling and Privacy</w:t>
      </w:r>
    </w:p>
    <w:p>
      <w:pPr>
        <w:spacing w:after="120"/>
      </w:pPr>
      <w:r>
        <w:t xml:space="preserve">Data protection is the single control that most commonly fails in AI sandboxes. The principle is simple: production customer data never enters a sandbox. Engineers who need realistic data use synthetic or masked substitutes provisioned through a governed pipeline.</w:t>
      </w:r>
    </w:p>
    <w:p>
      <w:pPr>
        <w:pStyle w:val="Heading2"/>
      </w:pPr>
      <w:r>
        <w:t xml:space="preserve">7.1 Data Classification in Sandboxes</w:t>
      </w:r>
    </w:p>
    <w:p>
      <w:pPr>
        <w:pStyle w:val="ListParagraph"/>
        <w:numPr>
          <w:ilvl w:val="0"/>
          <w:numId w:val="2"/>
        </w:numPr>
      </w:pPr>
      <w:r>
        <w:t xml:space="preserve">Public - permitted without restriction.</w:t>
      </w:r>
    </w:p>
    <w:p>
      <w:pPr>
        <w:pStyle w:val="ListParagraph"/>
        <w:numPr>
          <w:ilvl w:val="0"/>
          <w:numId w:val="2"/>
        </w:numPr>
      </w:pPr>
      <w:r>
        <w:t xml:space="preserve">Internal - permitted (ceiling for standard sandboxes).</w:t>
      </w:r>
    </w:p>
    <w:p>
      <w:pPr>
        <w:pStyle w:val="ListParagraph"/>
        <w:numPr>
          <w:ilvl w:val="0"/>
          <w:numId w:val="2"/>
        </w:numPr>
      </w:pPr>
      <w:r>
        <w:t xml:space="preserve">Confidential - only with an approved exception and additional controls.</w:t>
      </w:r>
    </w:p>
    <w:p>
      <w:pPr>
        <w:pStyle w:val="ListParagraph"/>
        <w:numPr>
          <w:ilvl w:val="0"/>
          <w:numId w:val="2"/>
        </w:numPr>
      </w:pPr>
      <w:r>
        <w:t xml:space="preserve">Restricted / PII / PCI - not permitted. No exceptions.</w:t>
      </w:r>
    </w:p>
    <w:p>
      <w:pPr>
        <w:pStyle w:val="Heading2"/>
      </w:pPr>
      <w:r>
        <w:t xml:space="preserve">7.2 Synthetic and Masked Data</w:t>
      </w:r>
    </w:p>
    <w:p>
      <w:pPr>
        <w:pStyle w:val="ListParagraph"/>
        <w:numPr>
          <w:ilvl w:val="0"/>
          <w:numId w:val="2"/>
        </w:numPr>
      </w:pPr>
      <w:r>
        <w:t xml:space="preserve">Synthetic datasets generated from production schemas using an approved tool (e.g. SDV, Tonic, or an internal generator) and validated for absence of re-identification risk.</w:t>
      </w:r>
    </w:p>
    <w:p>
      <w:pPr>
        <w:pStyle w:val="ListParagraph"/>
        <w:numPr>
          <w:ilvl w:val="0"/>
          <w:numId w:val="2"/>
        </w:numPr>
      </w:pPr>
      <w:r>
        <w:t xml:space="preserve">Masked datasets produced by a pipeline that applies deterministic pseudonymisation of direct identifiers, generalisation of quasi-identifiers, and removal of free-text PII.</w:t>
      </w:r>
    </w:p>
    <w:p>
      <w:pPr>
        <w:pStyle w:val="ListParagraph"/>
        <w:numPr>
          <w:ilvl w:val="0"/>
          <w:numId w:val="2"/>
        </w:numPr>
      </w:pPr>
      <w:r>
        <w:t xml:space="preserve">Both are published to sandbox storage accounts that are allow-listed in the egress policy and labelled via Purview.</w:t>
      </w:r>
    </w:p>
    <w:p>
      <w:pPr>
        <w:pStyle w:val="Heading2"/>
      </w:pPr>
      <w:r>
        <w:t xml:space="preserve">7.3 Regulatory Alignment</w:t>
      </w:r>
    </w:p>
    <w:p>
      <w:pPr>
        <w:spacing w:after="120"/>
      </w:pPr>
      <w:r>
        <w:t xml:space="preserve">The architecture is designed to satisfy the data-protection obligations we are subject to across our operating markets. Key instruments include:</w:t>
      </w:r>
    </w:p>
    <w:p>
      <w:pPr>
        <w:pStyle w:val="ListParagraph"/>
        <w:numPr>
          <w:ilvl w:val="0"/>
          <w:numId w:val="2"/>
        </w:numPr>
      </w:pPr>
      <w:r>
        <w:t xml:space="preserve">South Africa - POPIA (Protection of Personal Information Act). Regulator: Information Regulator.</w:t>
      </w:r>
    </w:p>
    <w:p>
      <w:pPr>
        <w:pStyle w:val="ListParagraph"/>
        <w:numPr>
          <w:ilvl w:val="0"/>
          <w:numId w:val="2"/>
        </w:numPr>
      </w:pPr>
      <w:r>
        <w:t xml:space="preserve">Nigeria - Nigeria Data Protection Act 2023 and NDP Regulation. Regulator: NDPC.</w:t>
      </w:r>
    </w:p>
    <w:p>
      <w:pPr>
        <w:pStyle w:val="ListParagraph"/>
        <w:numPr>
          <w:ilvl w:val="0"/>
          <w:numId w:val="2"/>
        </w:numPr>
      </w:pPr>
      <w:r>
        <w:t xml:space="preserve">Kenya - Data Protection Act 2019. Regulator: ODPC.</w:t>
      </w:r>
    </w:p>
    <w:p>
      <w:pPr>
        <w:pStyle w:val="ListParagraph"/>
        <w:numPr>
          <w:ilvl w:val="0"/>
          <w:numId w:val="2"/>
        </w:numPr>
      </w:pPr>
      <w:r>
        <w:t xml:space="preserve">Ghana - Data Protection Act 2012. Regulator: DPC.</w:t>
      </w:r>
    </w:p>
    <w:p>
      <w:pPr>
        <w:pStyle w:val="ListParagraph"/>
        <w:numPr>
          <w:ilvl w:val="0"/>
          <w:numId w:val="2"/>
        </w:numPr>
      </w:pPr>
      <w:r>
        <w:t xml:space="preserve">Egypt - Personal Data Protection Law. Regulator: PDPC.</w:t>
      </w:r>
    </w:p>
    <w:p>
      <w:pPr>
        <w:pStyle w:val="ListParagraph"/>
        <w:numPr>
          <w:ilvl w:val="0"/>
          <w:numId w:val="2"/>
        </w:numPr>
      </w:pPr>
      <w:r>
        <w:t xml:space="preserve">Cross-border - AU Convention on Cyber Security and Personal Data Protection (Malabo Convention).</w:t>
      </w:r>
    </w:p>
    <w:p>
      <w:pPr>
        <w:spacing w:after="120"/>
      </w:pPr>
      <w:r>
        <w:t xml:space="preserve">Where a use case processes personal data, the AI Council will map it against the lawful basis, cross-border transfer, and breach-notification obligations in the relevant jurisdiction prior to deployment.</w:t>
      </w:r>
    </w:p>
    <w:p>
      <w:pPr>
        <w:pStyle w:val="Heading2"/>
      </w:pPr>
      <w:r>
        <w:t xml:space="preserve">7.4 Data Loss Prevention</w:t>
      </w:r>
    </w:p>
    <w:p>
      <w:pPr>
        <w:pStyle w:val="ListParagraph"/>
        <w:numPr>
          <w:ilvl w:val="0"/>
          <w:numId w:val="2"/>
        </w:numPr>
      </w:pPr>
      <w:r>
        <w:t xml:space="preserve">Microsoft Purview sensitivity labels applied to Foundry project artefacts, datasets and outputs.</w:t>
      </w:r>
    </w:p>
    <w:p>
      <w:pPr>
        <w:pStyle w:val="ListParagraph"/>
        <w:numPr>
          <w:ilvl w:val="0"/>
          <w:numId w:val="2"/>
        </w:numPr>
      </w:pPr>
      <w:r>
        <w:t xml:space="preserve">Endpoint DLP on Dev Boxes and corporate endpoints blocks upload of labelled content to unsanctioned destinations.</w:t>
      </w:r>
    </w:p>
    <w:p>
      <w:pPr>
        <w:pStyle w:val="ListParagraph"/>
        <w:numPr>
          <w:ilvl w:val="0"/>
          <w:numId w:val="2"/>
        </w:numPr>
      </w:pPr>
      <w:r>
        <w:t xml:space="preserve">Defender for Cloud Apps flags anomalous AI-tool use and blocks unsanctioned generative-AI endpoints.</w:t>
      </w:r>
    </w:p>
    <w:p>
      <w:r>
        <w:br w:type="page"/>
      </w:r>
    </w:p>
    <w:p>
      <w:pPr>
        <w:pStyle w:val="Heading1"/>
      </w:pPr>
      <w:r>
        <w:t xml:space="preserve">8. AI-Specific Controls (Azure AI Foundry)</w:t>
      </w:r>
    </w:p>
    <w:p>
      <w:pPr>
        <w:spacing w:after="120"/>
      </w:pPr>
      <w:r>
        <w:t xml:space="preserve">Azure AI Foundry is the sanctioned environment for all generative-AI development. The hub-and-project pattern maps naturally onto a fintech governance model: the hub holds shared infrastructure, security and connectivity; each project is a workspace scoped to a business use case and approved by the AI Council.</w:t>
      </w:r>
    </w:p>
    <w:p>
      <w:pPr>
        <w:pStyle w:val="Heading2"/>
      </w:pPr>
      <w:r>
        <w:t xml:space="preserve">8.1 Hub Design</w:t>
      </w:r>
    </w:p>
    <w:p>
      <w:pPr>
        <w:pStyle w:val="ListParagraph"/>
        <w:numPr>
          <w:ilvl w:val="0"/>
          <w:numId w:val="2"/>
        </w:numPr>
      </w:pPr>
      <w:r>
        <w:t xml:space="preserve">One production hub per business domain (for example Customer, Risk, Operations).</w:t>
      </w:r>
    </w:p>
    <w:p>
      <w:pPr>
        <w:pStyle w:val="ListParagraph"/>
        <w:numPr>
          <w:ilvl w:val="0"/>
          <w:numId w:val="2"/>
        </w:numPr>
      </w:pPr>
      <w:r>
        <w:t xml:space="preserve">Shared connections to approved model providers configured at hub level.</w:t>
      </w:r>
    </w:p>
    <w:p>
      <w:pPr>
        <w:pStyle w:val="ListParagraph"/>
        <w:numPr>
          <w:ilvl w:val="0"/>
          <w:numId w:val="2"/>
        </w:numPr>
      </w:pPr>
      <w:r>
        <w:t xml:space="preserve">Centrally managed content safety, customer-managed keys, private networking.</w:t>
      </w:r>
    </w:p>
    <w:p>
      <w:pPr>
        <w:pStyle w:val="ListParagraph"/>
        <w:numPr>
          <w:ilvl w:val="0"/>
          <w:numId w:val="2"/>
        </w:numPr>
      </w:pPr>
      <w:r>
        <w:t xml:space="preserve">Foundry audit logs streamed to the central Log Analytics workspace and Sentinel.</w:t>
      </w:r>
    </w:p>
    <w:p>
      <w:pPr>
        <w:pStyle w:val="Heading2"/>
      </w:pPr>
      <w:r>
        <w:t xml:space="preserve">8.2 Project Controls</w:t>
      </w:r>
    </w:p>
    <w:p>
      <w:pPr>
        <w:pStyle w:val="ListParagraph"/>
        <w:numPr>
          <w:ilvl w:val="0"/>
          <w:numId w:val="2"/>
        </w:numPr>
      </w:pPr>
      <w:r>
        <w:t xml:space="preserve">Each project requires a registered use case ID and an approved data classification.</w:t>
      </w:r>
    </w:p>
    <w:p>
      <w:pPr>
        <w:pStyle w:val="ListParagraph"/>
        <w:numPr>
          <w:ilvl w:val="0"/>
          <w:numId w:val="2"/>
        </w:numPr>
      </w:pPr>
      <w:r>
        <w:t xml:space="preserve">Model catalogue restricted to approved models; new entries require an AI Council decision.</w:t>
      </w:r>
    </w:p>
    <w:p>
      <w:pPr>
        <w:pStyle w:val="ListParagraph"/>
        <w:numPr>
          <w:ilvl w:val="0"/>
          <w:numId w:val="2"/>
        </w:numPr>
      </w:pPr>
      <w:r>
        <w:t xml:space="preserve">Prompt flow evaluations mandatory before any deployment beyond the sandbox stage.</w:t>
      </w:r>
    </w:p>
    <w:p>
      <w:pPr>
        <w:pStyle w:val="ListParagraph"/>
        <w:numPr>
          <w:ilvl w:val="0"/>
          <w:numId w:val="2"/>
        </w:numPr>
      </w:pPr>
      <w:r>
        <w:t xml:space="preserve">Content safety filters enabled by default on all deployed endpoints.</w:t>
      </w:r>
    </w:p>
    <w:p>
      <w:pPr>
        <w:pStyle w:val="ListParagraph"/>
        <w:numPr>
          <w:ilvl w:val="0"/>
          <w:numId w:val="2"/>
        </w:numPr>
      </w:pPr>
      <w:r>
        <w:t xml:space="preserve">Responsible AI dashboard evidence (fairness, explainability, error analysis) stored as part of the model card.</w:t>
      </w:r>
    </w:p>
    <w:p>
      <w:pPr>
        <w:pStyle w:val="Heading2"/>
      </w:pPr>
      <w:r>
        <w:t xml:space="preserve">8.3 Approved Model Providers</w:t>
      </w:r>
    </w:p>
    <w:p>
      <w:pPr>
        <w:spacing w:after="120"/>
      </w:pPr>
      <w:r>
        <w:t xml:space="preserve">Sandbox Foundry projects may consume models from the following approved providers, subject to data classification limits set by the AI Council:</w:t>
      </w:r>
    </w:p>
    <w:p>
      <w:pPr>
        <w:pStyle w:val="ListParagraph"/>
        <w:numPr>
          <w:ilvl w:val="0"/>
          <w:numId w:val="2"/>
        </w:numPr>
      </w:pPr>
      <w:r>
        <w:t xml:space="preserve">Azure OpenAI Service (primary).</w:t>
      </w:r>
    </w:p>
    <w:p>
      <w:pPr>
        <w:pStyle w:val="ListParagraph"/>
        <w:numPr>
          <w:ilvl w:val="0"/>
          <w:numId w:val="2"/>
        </w:numPr>
      </w:pPr>
      <w:r>
        <w:t xml:space="preserve">Foundry-hosted open-weight models (Llama, Phi, Mistral) deployed into our tenant.</w:t>
      </w:r>
    </w:p>
    <w:p>
      <w:pPr>
        <w:pStyle w:val="ListParagraph"/>
        <w:numPr>
          <w:ilvl w:val="0"/>
          <w:numId w:val="2"/>
        </w:numPr>
      </w:pPr>
      <w:r>
        <w:t xml:space="preserve">Foundry-partner models with contractual commitments that prompts and completions are not used for training.</w:t>
      </w:r>
    </w:p>
    <w:p>
      <w:pPr>
        <w:pStyle w:val="ListParagraph"/>
        <w:numPr>
          <w:ilvl w:val="0"/>
          <w:numId w:val="2"/>
        </w:numPr>
      </w:pPr>
      <w:r>
        <w:t xml:space="preserve">No direct calls to consumer endpoints (for example chat.openai.com, gemini.google.com) from sandbox networks.</w:t>
      </w:r>
    </w:p>
    <w:p>
      <w:pPr>
        <w:pStyle w:val="Heading2"/>
      </w:pPr>
      <w:r>
        <w:t xml:space="preserve">8.4 Evaluation Requirements</w:t>
      </w:r>
    </w:p>
    <w:p>
      <w:pPr>
        <w:pStyle w:val="ListParagraph"/>
        <w:numPr>
          <w:ilvl w:val="0"/>
          <w:numId w:val="2"/>
        </w:numPr>
      </w:pPr>
      <w:r>
        <w:t xml:space="preserve">Groundedness and relevance scored on a curated evaluation set for any RAG application.</w:t>
      </w:r>
    </w:p>
    <w:p>
      <w:pPr>
        <w:pStyle w:val="ListParagraph"/>
        <w:numPr>
          <w:ilvl w:val="0"/>
          <w:numId w:val="2"/>
        </w:numPr>
      </w:pPr>
      <w:r>
        <w:t xml:space="preserve">Safety evaluation (harmful content, PII leakage, jailbreak resistance) mandatory for customer-facing or decisioning use cases.</w:t>
      </w:r>
    </w:p>
    <w:p>
      <w:pPr>
        <w:pStyle w:val="ListParagraph"/>
        <w:numPr>
          <w:ilvl w:val="0"/>
          <w:numId w:val="2"/>
        </w:numPr>
      </w:pPr>
      <w:r>
        <w:t xml:space="preserve">Red-team assessment required for any use case classified High-risk by the AI Council.</w:t>
      </w:r>
    </w:p>
    <w:p>
      <w:pPr>
        <w:pStyle w:val="ListParagraph"/>
        <w:numPr>
          <w:ilvl w:val="0"/>
          <w:numId w:val="2"/>
        </w:numPr>
      </w:pPr>
      <w:r>
        <w:t xml:space="preserve">Evaluation artefacts retained for the regulatory retention window.</w:t>
      </w:r>
    </w:p>
    <w:p>
      <w:r>
        <w:br w:type="page"/>
      </w:r>
    </w:p>
    <w:p>
      <w:pPr>
        <w:pStyle w:val="Heading1"/>
      </w:pPr>
      <w:r>
        <w:t xml:space="preserve">9. Lifecycle Management</w:t>
      </w:r>
    </w:p>
    <w:p>
      <w:pPr>
        <w:pStyle w:val="Heading2"/>
      </w:pPr>
      <w:r>
        <w:t xml:space="preserve">9.1 Provisioning</w:t>
      </w:r>
    </w:p>
    <w:p>
      <w:pPr>
        <w:pStyle w:val="ListParagraph"/>
        <w:numPr>
          <w:ilvl w:val="0"/>
          <w:numId w:val="2"/>
        </w:numPr>
      </w:pPr>
      <w:r>
        <w:t xml:space="preserve">Engineer opens an intake form in the self-service portal (backed by the AI use-case register).</w:t>
      </w:r>
    </w:p>
    <w:p>
      <w:pPr>
        <w:pStyle w:val="ListParagraph"/>
        <w:numPr>
          <w:ilvl w:val="0"/>
          <w:numId w:val="2"/>
        </w:numPr>
      </w:pPr>
      <w:r>
        <w:t xml:space="preserve">Automated checks: Entra group membership, training completion, data-classification declaration.</w:t>
      </w:r>
    </w:p>
    <w:p>
      <w:pPr>
        <w:pStyle w:val="ListParagraph"/>
        <w:numPr>
          <w:ilvl w:val="0"/>
          <w:numId w:val="2"/>
        </w:numPr>
      </w:pPr>
      <w:r>
        <w:t xml:space="preserve">Subscription vended, catalogue template deployed, tags applied, expiry set.</w:t>
      </w:r>
    </w:p>
    <w:p>
      <w:pPr>
        <w:pStyle w:val="ListParagraph"/>
        <w:numPr>
          <w:ilvl w:val="0"/>
          <w:numId w:val="2"/>
        </w:numPr>
      </w:pPr>
      <w:r>
        <w:t xml:space="preserve">Engineer receives environment details, a scoped RBAC role and a link to the deprovisioning runbook.</w:t>
      </w:r>
    </w:p>
    <w:p>
      <w:pPr>
        <w:pStyle w:val="Heading2"/>
      </w:pPr>
      <w:r>
        <w:t xml:space="preserve">9.2 Usage</w:t>
      </w:r>
    </w:p>
    <w:p>
      <w:pPr>
        <w:pStyle w:val="ListParagraph"/>
        <w:numPr>
          <w:ilvl w:val="0"/>
          <w:numId w:val="2"/>
        </w:numPr>
      </w:pPr>
      <w:r>
        <w:t xml:space="preserve">Environment is monitored for idle time, cost drift and policy compliance.</w:t>
      </w:r>
    </w:p>
    <w:p>
      <w:pPr>
        <w:pStyle w:val="ListParagraph"/>
        <w:numPr>
          <w:ilvl w:val="0"/>
          <w:numId w:val="2"/>
        </w:numPr>
      </w:pPr>
      <w:r>
        <w:t xml:space="preserve">Weekly cost digest emailed to owner and cost-centre manager.</w:t>
      </w:r>
    </w:p>
    <w:p>
      <w:pPr>
        <w:pStyle w:val="ListParagraph"/>
        <w:numPr>
          <w:ilvl w:val="0"/>
          <w:numId w:val="2"/>
        </w:numPr>
      </w:pPr>
      <w:r>
        <w:t xml:space="preserve">Expiry extension requires justification and is capped at two extensions of 30 days each.</w:t>
      </w:r>
    </w:p>
    <w:p>
      <w:pPr>
        <w:pStyle w:val="Heading2"/>
      </w:pPr>
      <w:r>
        <w:t xml:space="preserve">9.3 Deprovisioning</w:t>
      </w:r>
    </w:p>
    <w:p>
      <w:pPr>
        <w:pStyle w:val="ListParagraph"/>
        <w:numPr>
          <w:ilvl w:val="0"/>
          <w:numId w:val="2"/>
        </w:numPr>
      </w:pPr>
      <w:r>
        <w:t xml:space="preserve">Seven days before expiry, owner receives the first reminder.</w:t>
      </w:r>
    </w:p>
    <w:p>
      <w:pPr>
        <w:pStyle w:val="ListParagraph"/>
        <w:numPr>
          <w:ilvl w:val="0"/>
          <w:numId w:val="2"/>
        </w:numPr>
      </w:pPr>
      <w:r>
        <w:t xml:space="preserve">On expiry, automated tear-down runs: compute destroyed, data archived or deleted per retention policy, tags retained.</w:t>
      </w:r>
    </w:p>
    <w:p>
      <w:pPr>
        <w:pStyle w:val="ListParagraph"/>
        <w:numPr>
          <w:ilvl w:val="0"/>
          <w:numId w:val="2"/>
        </w:numPr>
      </w:pPr>
      <w:r>
        <w:t xml:space="preserve">Subscription moved to the Decommissioned management group for an audit hold period.</w:t>
      </w:r>
    </w:p>
    <w:p>
      <w:pPr>
        <w:pStyle w:val="ListParagraph"/>
        <w:numPr>
          <w:ilvl w:val="0"/>
          <w:numId w:val="2"/>
        </w:numPr>
      </w:pPr>
      <w:r>
        <w:t xml:space="preserve">Final clean-up after the hold period releases the subscription.</w:t>
      </w:r>
    </w:p>
    <w:p>
      <w:r>
        <w:br w:type="page"/>
      </w:r>
    </w:p>
    <w:p>
      <w:pPr>
        <w:pStyle w:val="Heading1"/>
      </w:pPr>
      <w:r>
        <w:t xml:space="preserve">10. Monitoring, Observability and Audit</w:t>
      </w:r>
    </w:p>
    <w:p>
      <w:pPr>
        <w:pStyle w:val="ListParagraph"/>
        <w:numPr>
          <w:ilvl w:val="0"/>
          <w:numId w:val="2"/>
        </w:numPr>
      </w:pPr>
      <w:r>
        <w:t xml:space="preserve">All sandbox subscriptions send platform logs, activity logs and diagnostic logs to a central Log Analytics workspace.</w:t>
      </w:r>
    </w:p>
    <w:p>
      <w:pPr>
        <w:pStyle w:val="ListParagraph"/>
        <w:numPr>
          <w:ilvl w:val="0"/>
          <w:numId w:val="2"/>
        </w:numPr>
      </w:pPr>
      <w:r>
        <w:t xml:space="preserve">Microsoft Sentinel analytic rules detect: unsanctioned model endpoint egress, data exfiltration patterns, anomalous Copilot use, privilege escalation.</w:t>
      </w:r>
    </w:p>
    <w:p>
      <w:pPr>
        <w:pStyle w:val="ListParagraph"/>
        <w:numPr>
          <w:ilvl w:val="0"/>
          <w:numId w:val="2"/>
        </w:numPr>
      </w:pPr>
      <w:r>
        <w:t xml:space="preserve">Defender for Cloud secure-score baseline target: 85%+ across sandbox subscriptions.</w:t>
      </w:r>
    </w:p>
    <w:p>
      <w:pPr>
        <w:pStyle w:val="ListParagraph"/>
        <w:numPr>
          <w:ilvl w:val="0"/>
          <w:numId w:val="2"/>
        </w:numPr>
      </w:pPr>
      <w:r>
        <w:t xml:space="preserve">Foundry audit trail (prompts, completions metadata, evaluations) retained for the regulatory retention period.</w:t>
      </w:r>
    </w:p>
    <w:p>
      <w:pPr>
        <w:pStyle w:val="ListParagraph"/>
        <w:numPr>
          <w:ilvl w:val="0"/>
          <w:numId w:val="2"/>
        </w:numPr>
      </w:pPr>
      <w:r>
        <w:t xml:space="preserve">Quarterly access review via Entra Access Reviews for all sandbox-adjacent roles.</w:t>
      </w:r>
    </w:p>
    <w:p>
      <w:pPr>
        <w:pStyle w:val="Heading1"/>
      </w:pPr>
      <w:r>
        <w:t xml:space="preserve">11. Cost Management</w:t>
      </w:r>
    </w:p>
    <w:p>
      <w:pPr>
        <w:pStyle w:val="ListParagraph"/>
        <w:numPr>
          <w:ilvl w:val="0"/>
          <w:numId w:val="2"/>
        </w:numPr>
      </w:pPr>
      <w:r>
        <w:t xml:space="preserve">Daily cost ingestion to a Power BI cost dashboard with per-project, per-owner and per-use-case views.</w:t>
      </w:r>
    </w:p>
    <w:p>
      <w:pPr>
        <w:pStyle w:val="ListParagraph"/>
        <w:numPr>
          <w:ilvl w:val="0"/>
          <w:numId w:val="2"/>
        </w:numPr>
      </w:pPr>
      <w:r>
        <w:t xml:space="preserve">Show-back model: cost-centre attribution is enforced via tagging and visible to engineering leadership.</w:t>
      </w:r>
    </w:p>
    <w:p>
      <w:pPr>
        <w:pStyle w:val="ListParagraph"/>
        <w:numPr>
          <w:ilvl w:val="0"/>
          <w:numId w:val="2"/>
        </w:numPr>
      </w:pPr>
      <w:r>
        <w:t xml:space="preserve">GPU, Foundry deployments, and LLM token spend broken out as separate cost pillars.</w:t>
      </w:r>
    </w:p>
    <w:p>
      <w:pPr>
        <w:pStyle w:val="ListParagraph"/>
        <w:numPr>
          <w:ilvl w:val="0"/>
          <w:numId w:val="2"/>
        </w:numPr>
      </w:pPr>
      <w:r>
        <w:t xml:space="preserve">Automated anomaly alerts on 25%+ week-over-week cost movement.</w:t>
      </w:r>
    </w:p>
    <w:p>
      <w:r>
        <w:br w:type="page"/>
      </w:r>
    </w:p>
    <w:p>
      <w:pPr>
        <w:pStyle w:val="Heading1"/>
      </w:pPr>
      <w:r>
        <w:t xml:space="preserve">12. Fintech-Specific Considerations</w:t>
      </w:r>
    </w:p>
    <w:p>
      <w:pPr>
        <w:spacing w:after="120"/>
      </w:pPr>
      <w:r>
        <w:t xml:space="preserve">Regulatory expectations on financial institutions using AI converge on a small number of themes. The following map those themes to specific controls in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Regulator theme</w:t>
            </w:r>
          </w:p>
        </w:tc>
        <w:tc>
          <w:tcPr>
            <w:tcW w:type="dxa" w:w="62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How the architecture addresses it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Model Risk Management (Basel-style, SARB, CBN guidance)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Every model is registered with a model card, an approved use case, documented evaluations and a named accountable owner. Production deployment from sandbox is gated by the AI Council.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Third-party risk / outsourcing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Model providers are formally onboarded as third parties with contracted commitments (no training on our data, residency, breach reporting). Foundry connections use approved providers only.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Operational resilience (DORA-style)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Critical AI services have a defined recovery objective, tested fall-back behaviours, and documented dependencies. Sandbox experimentation is segregated so it cannot affect production.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Consumer protection / Treating Customers Fairly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Customer-facing AI use cases require explainability evidence, bias evaluation, human-in-the-loop for adverse decisions, and a defined complaints-handling path.</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AML / CFT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AI models used in transaction monitoring or customer due diligence are validated against golden datasets, subject to independent review, and retained for regulator inspection.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Data protection (POPIA, NDPA, KDPA, etc.)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Sandboxes never consume production personal data. Data processing for AI is captured in the record of processing and, where required, in a data-protection impact assessment.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Records and evidence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 provisioning, approvals, evaluations and incidents are captured in immutable logs retained for the longer of the regulator retention period and seven years.</w:t>
            </w:r>
          </w:p>
        </w:tc>
      </w:tr>
    </w:tbl>
    <w:p>
      <w:r>
        <w:br w:type="page"/>
      </w:r>
    </w:p>
    <w:p>
      <w:pPr>
        <w:pStyle w:val="Heading1"/>
      </w:pPr>
      <w:r>
        <w:t xml:space="preserve">13.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Activity</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AI Head</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Platform Eng.</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Security</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Risk/DPO</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Dev Team</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Define sandbox policy and guardrails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Maintain the paved-road templates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Approve new use case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Provision an environment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Evaluate and sign off a model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Monitor and respond to violations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Report to the board / regulator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w:t>
            </w:r>
          </w:p>
        </w:tc>
      </w:tr>
    </w:tbl>
    <w:p>
      <w:r>
        <w:t xml:space="preserve"/>
      </w:r>
    </w:p>
    <w:p>
      <w:pPr>
        <w:spacing w:after="120"/>
      </w:pPr>
      <w:r>
        <w:t xml:space="preserve">R = Responsible, A = Accountable, C = Consulted, I = Informed.</w:t>
      </w:r>
    </w:p>
    <w:p>
      <w:pPr>
        <w:pStyle w:val="Heading1"/>
      </w:pPr>
      <w:r>
        <w:t xml:space="preserve">14. Success Metrics</w:t>
      </w:r>
    </w:p>
    <w:p>
      <w:pPr>
        <w:pStyle w:val="ListParagraph"/>
        <w:numPr>
          <w:ilvl w:val="0"/>
          <w:numId w:val="2"/>
        </w:numPr>
      </w:pPr>
      <w:r>
        <w:t xml:space="preserve">Time to first running sandbox: target under 10 minutes, measured monthly.</w:t>
      </w:r>
    </w:p>
    <w:p>
      <w:pPr>
        <w:pStyle w:val="ListParagraph"/>
        <w:numPr>
          <w:ilvl w:val="0"/>
          <w:numId w:val="2"/>
        </w:numPr>
      </w:pPr>
      <w:r>
        <w:t xml:space="preserve">Share of developers using sanctioned sandbox path: target above 95%.</w:t>
      </w:r>
    </w:p>
    <w:p>
      <w:pPr>
        <w:pStyle w:val="ListParagraph"/>
        <w:numPr>
          <w:ilvl w:val="0"/>
          <w:numId w:val="2"/>
        </w:numPr>
      </w:pPr>
      <w:r>
        <w:t xml:space="preserve">Policy compliance: target 100% of sandbox subscriptions on the baseline initiative, zero non-compliant resources aged more than 24 hours.</w:t>
      </w:r>
    </w:p>
    <w:p>
      <w:pPr>
        <w:pStyle w:val="ListParagraph"/>
        <w:numPr>
          <w:ilvl w:val="0"/>
          <w:numId w:val="2"/>
        </w:numPr>
      </w:pPr>
      <w:r>
        <w:t xml:space="preserve">Cost efficiency: sandbox spend as percentage of total non-production Azure spend, monitored, with a defined upper threshold.</w:t>
      </w:r>
    </w:p>
    <w:p>
      <w:pPr>
        <w:pStyle w:val="ListParagraph"/>
        <w:numPr>
          <w:ilvl w:val="0"/>
          <w:numId w:val="2"/>
        </w:numPr>
      </w:pPr>
      <w:r>
        <w:t xml:space="preserve">Shadow-AI detections trending toward zero quarter on quarter.</w:t>
      </w:r>
    </w:p>
    <w:p>
      <w:pPr>
        <w:pStyle w:val="ListParagraph"/>
        <w:numPr>
          <w:ilvl w:val="0"/>
          <w:numId w:val="2"/>
        </w:numPr>
      </w:pPr>
      <w:r>
        <w:t xml:space="preserve">Security events from sandboxes reaching production: target zero.</w:t>
      </w:r>
    </w:p>
    <w:p>
      <w:r>
        <w:br w:type="page"/>
      </w:r>
    </w:p>
    <w:p>
      <w:pPr>
        <w:pStyle w:val="Heading1"/>
      </w:pPr>
      <w:r>
        <w:t xml:space="preserve">Appendix A: Standards Reference</w:t>
      </w:r>
    </w:p>
    <w:p>
      <w:pPr>
        <w:pStyle w:val="ListParagraph"/>
        <w:numPr>
          <w:ilvl w:val="0"/>
          <w:numId w:val="2"/>
        </w:numPr>
      </w:pPr>
      <w:r>
        <w:t xml:space="preserve">NIST AI Risk Management Framework (AI RMF 1.0) and its Generative AI Profile.</w:t>
      </w:r>
    </w:p>
    <w:p>
      <w:pPr>
        <w:pStyle w:val="ListParagraph"/>
        <w:numPr>
          <w:ilvl w:val="0"/>
          <w:numId w:val="2"/>
        </w:numPr>
      </w:pPr>
      <w:r>
        <w:t xml:space="preserve">ISO/IEC 42001 - AI management system.</w:t>
      </w:r>
    </w:p>
    <w:p>
      <w:pPr>
        <w:pStyle w:val="ListParagraph"/>
        <w:numPr>
          <w:ilvl w:val="0"/>
          <w:numId w:val="2"/>
        </w:numPr>
      </w:pPr>
      <w:r>
        <w:t xml:space="preserve">ISO/IEC 23894 - AI risk management guidance.</w:t>
      </w:r>
    </w:p>
    <w:p>
      <w:pPr>
        <w:pStyle w:val="ListParagraph"/>
        <w:numPr>
          <w:ilvl w:val="0"/>
          <w:numId w:val="2"/>
        </w:numPr>
      </w:pPr>
      <w:r>
        <w:t xml:space="preserve">Microsoft Cloud Adoption Framework - Azure Landing Zones.</w:t>
      </w:r>
    </w:p>
    <w:p>
      <w:pPr>
        <w:pStyle w:val="ListParagraph"/>
        <w:numPr>
          <w:ilvl w:val="0"/>
          <w:numId w:val="2"/>
        </w:numPr>
      </w:pPr>
      <w:r>
        <w:t xml:space="preserve">Microsoft Secure Future Initiative control baselines.</w:t>
      </w:r>
    </w:p>
    <w:p>
      <w:pPr>
        <w:pStyle w:val="ListParagraph"/>
        <w:numPr>
          <w:ilvl w:val="0"/>
          <w:numId w:val="2"/>
        </w:numPr>
      </w:pPr>
      <w:r>
        <w:t xml:space="preserve">AU Malabo Convention on Cyber Security and Personal Data Protection.</w:t>
      </w:r>
    </w:p>
    <w:p>
      <w:pPr>
        <w:pStyle w:val="ListParagraph"/>
        <w:numPr>
          <w:ilvl w:val="0"/>
          <w:numId w:val="2"/>
        </w:numPr>
      </w:pPr>
      <w:r>
        <w:t xml:space="preserve">Local data-protection statutes (POPIA, NDPA, KDPA and equivalents) as listed in Section 7.</w:t>
      </w:r>
    </w:p>
    <w:p>
      <w:pPr>
        <w:pStyle w:val="Heading1"/>
      </w:pPr>
      <w:r>
        <w:t xml:space="preserve">Appendix B: Glossary</w:t>
      </w:r>
    </w:p>
    <w:p>
      <w:pPr>
        <w:pStyle w:val="ListParagraph"/>
        <w:numPr>
          <w:ilvl w:val="0"/>
          <w:numId w:val="2"/>
        </w:numPr>
      </w:pPr>
      <w:r>
        <w:rPr>
          <w:b/>
          <w:bCs/>
        </w:rPr>
        <w:t xml:space="preserve">ADE - </w:t>
      </w:r>
      <w:r>
        <w:t xml:space="preserve">Azure Deployment Environments.</w:t>
      </w:r>
    </w:p>
    <w:p>
      <w:pPr>
        <w:pStyle w:val="ListParagraph"/>
        <w:numPr>
          <w:ilvl w:val="0"/>
          <w:numId w:val="2"/>
        </w:numPr>
      </w:pPr>
      <w:r>
        <w:rPr>
          <w:b/>
          <w:bCs/>
        </w:rPr>
        <w:t xml:space="preserve">AI Council - </w:t>
      </w:r>
      <w:r>
        <w:t xml:space="preserve">Cross-functional governance body for AI use cases and policy.</w:t>
      </w:r>
    </w:p>
    <w:p>
      <w:pPr>
        <w:pStyle w:val="ListParagraph"/>
        <w:numPr>
          <w:ilvl w:val="0"/>
          <w:numId w:val="2"/>
        </w:numPr>
      </w:pPr>
      <w:r>
        <w:rPr>
          <w:b/>
          <w:bCs/>
        </w:rPr>
        <w:t xml:space="preserve">Entra PIM - </w:t>
      </w:r>
      <w:r>
        <w:t xml:space="preserve">Microsoft Entra Privileged Identity Management.</w:t>
      </w:r>
    </w:p>
    <w:p>
      <w:pPr>
        <w:pStyle w:val="ListParagraph"/>
        <w:numPr>
          <w:ilvl w:val="0"/>
          <w:numId w:val="2"/>
        </w:numPr>
      </w:pPr>
      <w:r>
        <w:rPr>
          <w:b/>
          <w:bCs/>
        </w:rPr>
        <w:t xml:space="preserve">Foundry - </w:t>
      </w:r>
      <w:r>
        <w:t xml:space="preserve">Azure AI Foundry (hub and project).</w:t>
      </w:r>
    </w:p>
    <w:p>
      <w:pPr>
        <w:pStyle w:val="ListParagraph"/>
        <w:numPr>
          <w:ilvl w:val="0"/>
          <w:numId w:val="2"/>
        </w:numPr>
      </w:pPr>
      <w:r>
        <w:rPr>
          <w:b/>
          <w:bCs/>
        </w:rPr>
        <w:t xml:space="preserve">Hub and spoke - </w:t>
      </w:r>
      <w:r>
        <w:t xml:space="preserve">Network pattern for connecting multiple workload networks through a shared hub.</w:t>
      </w:r>
    </w:p>
    <w:p>
      <w:pPr>
        <w:pStyle w:val="ListParagraph"/>
        <w:numPr>
          <w:ilvl w:val="0"/>
          <w:numId w:val="2"/>
        </w:numPr>
      </w:pPr>
      <w:r>
        <w:rPr>
          <w:b/>
          <w:bCs/>
        </w:rPr>
        <w:t xml:space="preserve">Paved road - </w:t>
      </w:r>
      <w:r>
        <w:t xml:space="preserve">The sanctioned developer path that is the fastest and easiest way to build safely.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v1.0  •  Head of AI &amp; Automation</w:t>
    </w:r>
    <w:r>
      <w:rPr>
        <w:sz w:val="18"/>
        <w:szCs w:val="18"/>
      </w:rP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Sandbox Reference Architecture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Sandbox Reference Architecture</dc:title>
  <dc:creator>Head of AI &amp; Automation</dc:creator>
  <cp:lastModifiedBy>Un-named</cp:lastModifiedBy>
  <cp:revision>1</cp:revision>
  <dcterms:created xsi:type="dcterms:W3CDTF">2026-04-22T14:33:28.861Z</dcterms:created>
  <dcterms:modified xsi:type="dcterms:W3CDTF">2026-04-22T14:33:28.861Z</dcterms:modified>
</cp:coreProperties>
</file>

<file path=docProps/custom.xml><?xml version="1.0" encoding="utf-8"?>
<Properties xmlns="http://schemas.openxmlformats.org/officeDocument/2006/custom-properties" xmlns:vt="http://schemas.openxmlformats.org/officeDocument/2006/docPropsVTypes"/>
</file>