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001B3D"/>
          <w:sz w:val="44"/>
          <w:szCs w:val="44"/>
        </w:rPr>
        <w:t xml:space="preserve">INTELLIGENT TEST AUTOMATION</w:t>
      </w:r>
    </w:p>
    <w:p>
      <w:pPr>
        <w:spacing w:after="200" w:before="120"/>
        <w:jc w:val="center"/>
      </w:pPr>
      <w:r>
        <w:rPr>
          <w:color w:val="0066CC"/>
          <w:sz w:val="32"/>
          <w:szCs w:val="32"/>
        </w:rPr>
        <w:t xml:space="preserve">Strategy &amp; Execution Plan</w:t>
      </w:r>
    </w:p>
    <w:p>
      <w:pPr>
        <w:spacing w:before="800"/>
        <w:jc w:val="center"/>
      </w:pPr>
      <w:r>
        <w:rPr>
          <w:b/>
          <w:bCs/>
          <w:color w:val="001B3D"/>
          <w:sz w:val="24"/>
          <w:szCs w:val="24"/>
        </w:rPr>
        <w:t xml:space="preserve">MTN Group Fintech</w:t>
      </w:r>
    </w:p>
    <w:p>
      <w:pPr>
        <w:jc w:val="center"/>
      </w:pPr>
      <w:r>
        <w:rPr>
          <w:color w:val="0066CC"/>
          <w:sz w:val="22"/>
          <w:szCs w:val="22"/>
        </w:rPr>
        <w:t xml:space="preserve">AI &amp; Automation Division</w:t>
      </w:r>
    </w:p>
    <w:p>
      <w:pPr>
        <w:spacing w:before="1200"/>
        <w:jc w:val="center"/>
      </w:pPr>
      <w:r>
        <w:rPr>
          <w:sz w:val="20"/>
          <w:szCs w:val="20"/>
        </w:rPr>
        <w:t xml:space="preserve">Document Owner: Malcolm Govender, Head of AI &amp; Automation</w:t>
      </w:r>
    </w:p>
    <w:p>
      <w:pPr>
        <w:jc w:val="center"/>
      </w:pPr>
      <w:r>
        <w:rPr>
          <w:color w:val="667788"/>
          <w:sz w:val="20"/>
          <w:szCs w:val="20"/>
        </w:rPr>
        <w:t xml:space="preserve">Version 1.0 · April 2026</w:t>
      </w:r>
    </w:p>
    <w:p>
      <w:pPr>
        <w:spacing w:before="120"/>
        <w:jc w:val="center"/>
      </w:pPr>
      <w:r>
        <w:rPr>
          <w:i/>
          <w:iCs/>
          <w:color w:val="8899AA"/>
          <w:sz w:val="18"/>
          <w:szCs w:val="18"/>
        </w:rPr>
        <w:t xml:space="preserve">Classification: Internal — Technology Division</w:t>
      </w:r>
    </w:p>
    <w:p>
      <w:r>
        <w:br w:type="page"/>
      </w:r>
    </w:p>
    <w:p>
      <w:pPr>
        <w:pStyle w:val="Heading1"/>
      </w:pPr>
      <w:r>
        <w:rPr>
          <w:color w:val="001B3D"/>
        </w:rPr>
        <w:t xml:space="preserve">1. Executive Summary</w:t>
      </w:r>
    </w:p>
    <w:p>
      <w:pPr>
        <w:spacing w:after="120"/>
      </w:pPr>
      <w:r>
        <w:t xml:space="preserve">MTN Group Fintech runs release cycles across 17 markets supporting 290M+ customers. Quality assurance is currently squad-embedded, manual-heavy, and uneven in coverage. This strategy establishes an AI-driven test automation capability that will lift regression coverage by 3×, reduce release cycle time by 35%, and cut production defect escape rates by half within 12 months.</w:t>
      </w:r>
    </w:p>
    <w:p>
      <w:pPr>
        <w:spacing w:after="120"/>
      </w:pPr>
      <w:r>
        <w:t xml:space="preserve">The approach is pragmatic: start with two pilot squads, prove measurable value in 90 days, then scale across engineering. We build on commercial LLMs for test generation, open-source frameworks for execution, and lightweight ML for defect-risk prediction — no vendor lock-in, no moonshot bets.</w:t>
      </w:r>
    </w:p>
    <w:p>
      <w:pPr>
        <w:spacing w:after="60"/>
      </w:pPr>
      <w:r>
        <w:rPr>
          <w:b/>
          <w:bCs/>
        </w:rPr>
        <w:t xml:space="preserve">Headline targets (12 months):</w:t>
      </w:r>
    </w:p>
    <w:p>
      <w:pPr>
        <w:pStyle w:val="ListParagraph"/>
        <w:numPr>
          <w:ilvl w:val="0"/>
          <w:numId w:val="2"/>
        </w:numPr>
      </w:pPr>
      <w:r>
        <w:t xml:space="preserve">Regression coverage: baseline → 3× across pilot squads</w:t>
      </w:r>
    </w:p>
    <w:p>
      <w:pPr>
        <w:pStyle w:val="ListParagraph"/>
        <w:numPr>
          <w:ilvl w:val="0"/>
          <w:numId w:val="2"/>
        </w:numPr>
      </w:pPr>
      <w:r>
        <w:t xml:space="preserve">Release cycle time: −35%</w:t>
      </w:r>
    </w:p>
    <w:p>
      <w:pPr>
        <w:pStyle w:val="ListParagraph"/>
        <w:numPr>
          <w:ilvl w:val="0"/>
          <w:numId w:val="2"/>
        </w:numPr>
      </w:pPr>
      <w:r>
        <w:t xml:space="preserve">Production defect escape rate: −50%</w:t>
      </w:r>
    </w:p>
    <w:p>
      <w:pPr>
        <w:pStyle w:val="ListParagraph"/>
        <w:numPr>
          <w:ilvl w:val="0"/>
          <w:numId w:val="2"/>
        </w:numPr>
      </w:pPr>
      <w:r>
        <w:t xml:space="preserve">Flaky test rate: −60%</w:t>
      </w:r>
    </w:p>
    <w:p>
      <w:pPr>
        <w:pStyle w:val="ListParagraph"/>
        <w:numPr>
          <w:ilvl w:val="0"/>
          <w:numId w:val="2"/>
        </w:numPr>
      </w:pPr>
      <w:r>
        <w:t xml:space="preserve">Engineer hours reclaimed from manual test maintenance: ~25% per pilot squad</w:t>
      </w:r>
    </w:p>
    <w:p>
      <w:pPr>
        <w:pStyle w:val="Heading1"/>
      </w:pPr>
      <w:r>
        <w:rPr>
          <w:color w:val="001B3D"/>
        </w:rPr>
        <w:t xml:space="preserve">2. Problem Statement</w:t>
      </w:r>
    </w:p>
    <w:p>
      <w:pPr>
        <w:spacing w:after="120"/>
      </w:pPr>
      <w:r>
        <w:t xml:space="preserve">Across MTN Fintech engineering, testing is the primary bottleneck slowing release confidence. The pattern is consistent across squads:</w:t>
      </w:r>
    </w:p>
    <w:p>
      <w:pPr>
        <w:pStyle w:val="ListParagraph"/>
        <w:numPr>
          <w:ilvl w:val="0"/>
          <w:numId w:val="2"/>
        </w:numPr>
      </w:pPr>
      <w:r>
        <w:t xml:space="preserve">Regression suites grow faster than they are maintained — flakiness compounds, teams disable failing tests rather than fix them</w:t>
      </w:r>
    </w:p>
    <w:p>
      <w:pPr>
        <w:pStyle w:val="ListParagraph"/>
        <w:numPr>
          <w:ilvl w:val="0"/>
          <w:numId w:val="2"/>
        </w:numPr>
      </w:pPr>
      <w:r>
        <w:t xml:space="preserve">Test generation is still manual and driven by developer discretion, leading to uneven coverage of edge cases and non-happy-path flows</w:t>
      </w:r>
    </w:p>
    <w:p>
      <w:pPr>
        <w:pStyle w:val="ListParagraph"/>
        <w:numPr>
          <w:ilvl w:val="0"/>
          <w:numId w:val="2"/>
        </w:numPr>
      </w:pPr>
      <w:r>
        <w:t xml:space="preserve">Defect prediction is reactive — issues are discovered in staging or production rather than prevented at PR time</w:t>
      </w:r>
    </w:p>
    <w:p>
      <w:pPr>
        <w:pStyle w:val="ListParagraph"/>
        <w:numPr>
          <w:ilvl w:val="0"/>
          <w:numId w:val="2"/>
        </w:numPr>
      </w:pPr>
      <w:r>
        <w:t xml:space="preserve">Cross-squad test patterns and fixtures are not shared, each squad reinvents its tooling</w:t>
      </w:r>
    </w:p>
    <w:p>
      <w:pPr>
        <w:pStyle w:val="ListParagraph"/>
        <w:numPr>
          <w:ilvl w:val="0"/>
          <w:numId w:val="2"/>
        </w:numPr>
      </w:pPr>
      <w:r>
        <w:t xml:space="preserve">QA engineers spend an outsized share of their time on maintenance rather than strategic coverage design</w:t>
      </w:r>
    </w:p>
    <w:p>
      <w:pPr>
        <w:spacing w:after="120"/>
      </w:pPr>
      <w:r>
        <w:t xml:space="preserve">The cost of this is not primarily test infrastructure — it is slower releases, deferred feature work, and a compliance tax every time a significant MoMo change ships.</w:t>
      </w:r>
    </w:p>
    <w:p>
      <w:pPr>
        <w:pStyle w:val="Heading1"/>
      </w:pPr>
      <w:r>
        <w:rPr>
          <w:color w:val="001B3D"/>
        </w:rPr>
        <w:t xml:space="preserve">3. Strategic Objectives</w:t>
      </w:r>
    </w:p>
    <w:p>
      <w:pPr>
        <w:pStyle w:val="Heading2"/>
      </w:pPr>
      <w:r>
        <w:rPr>
          <w:color w:val="0066CC"/>
        </w:rPr>
        <w:t xml:space="preserve">3.1 Primary Objectives</w:t>
      </w:r>
    </w:p>
    <w:p>
      <w:pPr>
        <w:pStyle w:val="ListParagraph"/>
        <w:numPr>
          <w:ilvl w:val="0"/>
          <w:numId w:val="3"/>
        </w:numPr>
      </w:pPr>
      <w:r>
        <w:t xml:space="preserve">Establish an AI-assisted test automation capability as a division-wide shared service within 6 months</w:t>
      </w:r>
    </w:p>
    <w:p>
      <w:pPr>
        <w:pStyle w:val="ListParagraph"/>
        <w:numPr>
          <w:ilvl w:val="0"/>
          <w:numId w:val="3"/>
        </w:numPr>
      </w:pPr>
      <w:r>
        <w:t xml:space="preserve">Prove measurable release confidence uplift in two pilot squads within 90 days of capability launch</w:t>
      </w:r>
    </w:p>
    <w:p>
      <w:pPr>
        <w:pStyle w:val="ListParagraph"/>
        <w:numPr>
          <w:ilvl w:val="0"/>
          <w:numId w:val="3"/>
        </w:numPr>
      </w:pPr>
      <w:r>
        <w:t xml:space="preserve">Scale to five additional squads by end of Q4 2026 with self-service tooling and playbooks</w:t>
      </w:r>
    </w:p>
    <w:p>
      <w:pPr>
        <w:pStyle w:val="ListParagraph"/>
        <w:numPr>
          <w:ilvl w:val="0"/>
          <w:numId w:val="3"/>
        </w:numPr>
      </w:pPr>
      <w:r>
        <w:t xml:space="preserve">Publish internal standards for AI-generated test code review, security, and maintainability</w:t>
      </w:r>
    </w:p>
    <w:p>
      <w:pPr>
        <w:pStyle w:val="Heading2"/>
      </w:pPr>
      <w:r>
        <w:rPr>
          <w:color w:val="0066CC"/>
        </w:rPr>
        <w:t xml:space="preserve">3.2 Secondary Objectives</w:t>
      </w:r>
    </w:p>
    <w:p>
      <w:pPr>
        <w:pStyle w:val="ListParagraph"/>
        <w:numPr>
          <w:ilvl w:val="0"/>
          <w:numId w:val="2"/>
        </w:numPr>
      </w:pPr>
      <w:r>
        <w:t xml:space="preserve">Feed anonymised test outcomes into the broader AI platform to improve defect prediction over time</w:t>
      </w:r>
    </w:p>
    <w:p>
      <w:pPr>
        <w:pStyle w:val="ListParagraph"/>
        <w:numPr>
          <w:ilvl w:val="0"/>
          <w:numId w:val="2"/>
        </w:numPr>
      </w:pPr>
      <w:r>
        <w:t xml:space="preserve">Reduce the total QA headcount pressure per squad by shifting maintenance load to the shared service</w:t>
      </w:r>
    </w:p>
    <w:p>
      <w:pPr>
        <w:pStyle w:val="ListParagraph"/>
        <w:numPr>
          <w:ilvl w:val="0"/>
          <w:numId w:val="2"/>
        </w:numPr>
      </w:pPr>
      <w:r>
        <w:t xml:space="preserve">Create a defensible capability the Group Risk &amp; Compliance function can audit for regulated releases</w:t>
      </w:r>
    </w:p>
    <w:p>
      <w:pPr>
        <w:pStyle w:val="Heading1"/>
      </w:pPr>
      <w:r>
        <w:rPr>
          <w:color w:val="001B3D"/>
        </w:rPr>
        <w:t xml:space="preserve">4. Scope</w:t>
      </w:r>
    </w:p>
    <w:p>
      <w:pPr>
        <w:pStyle w:val="Heading2"/>
      </w:pPr>
      <w:r>
        <w:rPr>
          <w:color w:val="0066CC"/>
        </w:rPr>
        <w:t xml:space="preserve">4.1 In Scope</w:t>
      </w:r>
    </w:p>
    <w:p>
      <w:pPr>
        <w:pStyle w:val="ListParagraph"/>
        <w:numPr>
          <w:ilvl w:val="0"/>
          <w:numId w:val="2"/>
        </w:numPr>
      </w:pPr>
      <w:r>
        <w:t xml:space="preserve">Unit, integration, API, and end-to-end UI test generation and maintenance</w:t>
      </w:r>
    </w:p>
    <w:p>
      <w:pPr>
        <w:pStyle w:val="ListParagraph"/>
        <w:numPr>
          <w:ilvl w:val="0"/>
          <w:numId w:val="2"/>
        </w:numPr>
      </w:pPr>
      <w:r>
        <w:t xml:space="preserve">CI/CD pipeline integration at the PR and merge-to-main stages</w:t>
      </w:r>
    </w:p>
    <w:p>
      <w:pPr>
        <w:pStyle w:val="ListParagraph"/>
        <w:numPr>
          <w:ilvl w:val="0"/>
          <w:numId w:val="2"/>
        </w:numPr>
      </w:pPr>
      <w:r>
        <w:t xml:space="preserve">Defect-risk scoring on PRs (recommend reviewers, flag high-risk changes)</w:t>
      </w:r>
    </w:p>
    <w:p>
      <w:pPr>
        <w:pStyle w:val="ListParagraph"/>
        <w:numPr>
          <w:ilvl w:val="0"/>
          <w:numId w:val="2"/>
        </w:numPr>
      </w:pPr>
      <w:r>
        <w:t xml:space="preserve">Self-healing selectors for UI tests</w:t>
      </w:r>
    </w:p>
    <w:p>
      <w:pPr>
        <w:pStyle w:val="ListParagraph"/>
        <w:numPr>
          <w:ilvl w:val="0"/>
          <w:numId w:val="2"/>
        </w:numPr>
      </w:pPr>
      <w:r>
        <w:t xml:space="preserve">Flaky test detection and auto-quarantine</w:t>
      </w:r>
    </w:p>
    <w:p>
      <w:pPr>
        <w:pStyle w:val="ListParagraph"/>
        <w:numPr>
          <w:ilvl w:val="0"/>
          <w:numId w:val="2"/>
        </w:numPr>
      </w:pPr>
      <w:r>
        <w:t xml:space="preserve">Test data management for pilot squads</w:t>
      </w:r>
    </w:p>
    <w:p>
      <w:pPr>
        <w:pStyle w:val="Heading2"/>
      </w:pPr>
      <w:r>
        <w:rPr>
          <w:color w:val="0066CC"/>
        </w:rPr>
        <w:t xml:space="preserve">4.2 Out of Scope (Phase 1)</w:t>
      </w:r>
    </w:p>
    <w:p>
      <w:pPr>
        <w:pStyle w:val="ListParagraph"/>
        <w:numPr>
          <w:ilvl w:val="0"/>
          <w:numId w:val="2"/>
        </w:numPr>
      </w:pPr>
      <w:r>
        <w:t xml:space="preserve">Performance and load testing (deferred to Phase 2)</w:t>
      </w:r>
    </w:p>
    <w:p>
      <w:pPr>
        <w:pStyle w:val="ListParagraph"/>
        <w:numPr>
          <w:ilvl w:val="0"/>
          <w:numId w:val="2"/>
        </w:numPr>
      </w:pPr>
      <w:r>
        <w:t xml:space="preserve">Security penetration testing (handled by Security Testing function)</w:t>
      </w:r>
    </w:p>
    <w:p>
      <w:pPr>
        <w:pStyle w:val="ListParagraph"/>
        <w:numPr>
          <w:ilvl w:val="0"/>
          <w:numId w:val="2"/>
        </w:numPr>
      </w:pPr>
      <w:r>
        <w:t xml:space="preserve">Mobile device farm management (separate investment)</w:t>
      </w:r>
    </w:p>
    <w:p>
      <w:pPr>
        <w:pStyle w:val="ListParagraph"/>
        <w:numPr>
          <w:ilvl w:val="0"/>
          <w:numId w:val="2"/>
        </w:numPr>
      </w:pPr>
      <w:r>
        <w:t xml:space="preserve">Manual exploratory testing — remains a human-led activity and will not be replaced</w:t>
      </w:r>
    </w:p>
    <w:p>
      <w:pPr>
        <w:pStyle w:val="Heading1"/>
      </w:pPr>
      <w:r>
        <w:rPr>
          <w:color w:val="001B3D"/>
        </w:rPr>
        <w:t xml:space="preserve">5. Technical Approach</w:t>
      </w:r>
    </w:p>
    <w:p>
      <w:pPr>
        <w:pStyle w:val="Heading2"/>
      </w:pPr>
      <w:r>
        <w:rPr>
          <w:color w:val="0066CC"/>
        </w:rPr>
        <w:t xml:space="preserve">5.1 Capability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66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66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66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Tooling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Generation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AI-driven creation of tests from requirements and code diffs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Claude Sonnet via Agent SDK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Execution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Cross-language test runners with parallel execution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Playwright, pytest, Jest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Pipeline integration, parallelisation, reporting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GitHub Actions, Argo Workflows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Defect prediction, flaky detection, coverage analysis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Python + scikit-learn, OpenTelemetry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Governance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Audit logging, HITL review gates, traceability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Langfuse, internal policy engine</w:t>
            </w:r>
          </w:p>
        </w:tc>
      </w:tr>
    </w:tbl>
    <w:p>
      <w:pPr>
        <w:pStyle w:val="Heading2"/>
      </w:pPr>
      <w:r>
        <w:rPr>
          <w:color w:val="0066CC"/>
        </w:rPr>
        <w:t xml:space="preserve">5.2 Build vs. Buy</w:t>
      </w:r>
    </w:p>
    <w:p>
      <w:pPr>
        <w:spacing w:after="120"/>
      </w:pPr>
      <w:r>
        <w:t xml:space="preserve">The vendor scan (Diffblue, Mabl, CodiumAI, Testim) shows strong point solutions but none cover the full pipeline we need at MTN's scale and compliance bar. The decision is to build a thin internal layer on commercial LLMs and open-source execution frameworks, avoiding lock-in and preserving the ability to switch model providers.</w:t>
      </w:r>
    </w:p>
    <w:p>
      <w:pPr>
        <w:pStyle w:val="Heading2"/>
      </w:pPr>
      <w:r>
        <w:rPr>
          <w:color w:val="0066CC"/>
        </w:rPr>
        <w:t xml:space="preserve">5.3 Human-in-the-Loop Design</w:t>
      </w:r>
    </w:p>
    <w:p>
      <w:pPr>
        <w:spacing w:after="120"/>
      </w:pPr>
      <w:r>
        <w:t xml:space="preserve">All AI-generated test code lands as a PR authored by the test-generation agent. A human engineer reviews and approves before merge. The agent does not merge its own code. This is deliberate — we are augmenting engineering judgement, not replacing it.</w:t>
      </w:r>
    </w:p>
    <w:p>
      <w:pPr>
        <w:pStyle w:val="Heading1"/>
      </w:pPr>
      <w:r>
        <w:rPr>
          <w:color w:val="001B3D"/>
        </w:rPr>
        <w:t xml:space="preserve">6. Execution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66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66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66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66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Discovery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1–3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QA estate survey, pilot squad selection, success metrics baseline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Signed pilot charter with 2 squads; baselined coverage, flakiness, cycle time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4–7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Agent scaffold, Playwright integration, PR workflow, Langfuse tracing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Working end-to-end: story → generated tests → PR → review → merge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Pilot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8–16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Run both pilot squads on the capability, iterate weekly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Measurable uplift on all 5 headline metrics; pilot squads retain the capability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Scale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17–26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Onboard 5 further squads, publish playbooks, graduate to shared service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5 additional squads using the capability; self-service onboarding documented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27+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Performance testing, mobile device farm integration, defect-risk at scale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Capability extended to new domains</w:t>
            </w:r>
          </w:p>
        </w:tc>
      </w:tr>
    </w:tbl>
    <w:p>
      <w:pPr>
        <w:pStyle w:val="Heading1"/>
      </w:pPr>
      <w:r>
        <w:rPr>
          <w:color w:val="001B3D"/>
        </w:rPr>
        <w:t xml:space="preserve">7. Success Metrics</w:t>
      </w:r>
    </w:p>
    <w:p>
      <w:pPr>
        <w:spacing w:after="120"/>
      </w:pPr>
      <w:r>
        <w:t xml:space="preserve">All metrics are baselined at the start of pilot and reviewed weekly during pilot phase, monthly once scaled.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66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66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66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90-Day Target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66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12-Month Target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Regression coverage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TBD per squad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+50%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3× baseline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Release cycle time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TBD per squad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−15%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−35%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Production defect escape rate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TBD per squad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−20%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−50%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Flaky test rate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TBD per squad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−30%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−60%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Engineer hours on maintenance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TBD per squad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−10%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−25%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AI-generated test acceptance rate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N/A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&gt;50% of suggestions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&gt;75% of suggestions</w:t>
            </w:r>
          </w:p>
        </w:tc>
      </w:tr>
    </w:tbl>
    <w:p>
      <w:pPr>
        <w:pStyle w:val="Heading1"/>
      </w:pPr>
      <w:r>
        <w:rPr>
          <w:color w:val="001B3D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66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66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 / Impact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66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AI-generated tests are low quality and require heavy rework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Medium / High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Hard HITL gate; track acceptance rate weekly; kill switch if &lt;30%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Squads reject the capability as top-down imposition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Medium / High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Pilot squads selected with their opt-in; capability ships as optional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API cost overruns from aggressive test generation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Medium / Medium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Budget cap per squad per month; monitor token usage via Langfuse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Flaky test problem worsens as volume grows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High / Medium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Auto-quarantine flaky tests; weekly flake review; SLO on flake rate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Compliance concern over AI-generated code in regulated markets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Medium / High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Early engagement with Group Risk; full audit trail via Langfuse; human sign-off required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No dedicated QA Automation Lead hired in time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High / High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1B3D"/>
                <w:sz w:val="20"/>
                <w:szCs w:val="20"/>
              </w:rPr>
              <w:t xml:space="preserve">Open role now; interim leadership by Head of AI &amp; Automation</w:t>
            </w:r>
          </w:p>
        </w:tc>
      </w:tr>
    </w:tbl>
    <w:p>
      <w:pPr>
        <w:pStyle w:val="Heading1"/>
      </w:pPr>
      <w:r>
        <w:rPr>
          <w:color w:val="001B3D"/>
        </w:rPr>
        <w:t xml:space="preserve">9. Team &amp; Governance</w:t>
      </w:r>
    </w:p>
    <w:p>
      <w:pPr>
        <w:pStyle w:val="Heading2"/>
      </w:pPr>
      <w:r>
        <w:rPr>
          <w:color w:val="0066CC"/>
        </w:rPr>
        <w:t xml:space="preserve">9.1 Core Team (Target)</w:t>
      </w:r>
    </w:p>
    <w:p>
      <w:pPr>
        <w:pStyle w:val="ListParagraph"/>
        <w:numPr>
          <w:ilvl w:val="0"/>
          <w:numId w:val="2"/>
        </w:numPr>
      </w:pPr>
      <w:r>
        <w:t xml:space="preserve">QA Automation Lead (1 FTE) — owns the capability end-to-end</w:t>
      </w:r>
    </w:p>
    <w:p>
      <w:pPr>
        <w:pStyle w:val="ListParagraph"/>
        <w:numPr>
          <w:ilvl w:val="0"/>
          <w:numId w:val="2"/>
        </w:numPr>
      </w:pPr>
      <w:r>
        <w:t xml:space="preserve">AI/Automation Engineer (1 FTE) — agent development and prompt engineering</w:t>
      </w:r>
    </w:p>
    <w:p>
      <w:pPr>
        <w:pStyle w:val="ListParagraph"/>
        <w:numPr>
          <w:ilvl w:val="0"/>
          <w:numId w:val="2"/>
        </w:numPr>
      </w:pPr>
      <w:r>
        <w:t xml:space="preserve">Data Scientist (0.5 FTE) — defect risk model, flaky detection</w:t>
      </w:r>
    </w:p>
    <w:p>
      <w:pPr>
        <w:pStyle w:val="ListParagraph"/>
        <w:numPr>
          <w:ilvl w:val="0"/>
          <w:numId w:val="2"/>
        </w:numPr>
      </w:pPr>
      <w:r>
        <w:t xml:space="preserve">Platform Engineer (0.5 FTE) — CI/CD integration, infra</w:t>
      </w:r>
    </w:p>
    <w:p>
      <w:pPr>
        <w:pStyle w:val="Heading2"/>
      </w:pPr>
      <w:r>
        <w:rPr>
          <w:color w:val="0066CC"/>
        </w:rPr>
        <w:t xml:space="preserve">9.2 Governance Model</w:t>
      </w:r>
    </w:p>
    <w:p>
      <w:pPr>
        <w:pStyle w:val="ListParagraph"/>
        <w:numPr>
          <w:ilvl w:val="0"/>
          <w:numId w:val="2"/>
        </w:numPr>
      </w:pPr>
      <w:r>
        <w:t xml:space="preserve">Weekly Pilot Review — squads, QA Lead, Head of AI &amp; Automation</w:t>
      </w:r>
    </w:p>
    <w:p>
      <w:pPr>
        <w:pStyle w:val="ListParagraph"/>
        <w:numPr>
          <w:ilvl w:val="0"/>
          <w:numId w:val="2"/>
        </w:numPr>
      </w:pPr>
      <w:r>
        <w:t xml:space="preserve">Monthly Steering — Head of Engineering, Head of QA (if separate), Head of AI &amp; Automation, Risk representative</w:t>
      </w:r>
    </w:p>
    <w:p>
      <w:pPr>
        <w:pStyle w:val="ListParagraph"/>
        <w:numPr>
          <w:ilvl w:val="0"/>
          <w:numId w:val="2"/>
        </w:numPr>
      </w:pPr>
      <w:r>
        <w:t xml:space="preserve">Quarterly Board Update — included in AI &amp; Automation division report</w:t>
      </w:r>
    </w:p>
    <w:p>
      <w:pPr>
        <w:pStyle w:val="Heading1"/>
      </w:pPr>
      <w:r>
        <w:rPr>
          <w:color w:val="001B3D"/>
        </w:rPr>
        <w:t xml:space="preserve">10. Dependencies</w:t>
      </w:r>
    </w:p>
    <w:p>
      <w:pPr>
        <w:pStyle w:val="ListParagraph"/>
        <w:numPr>
          <w:ilvl w:val="0"/>
          <w:numId w:val="2"/>
        </w:numPr>
      </w:pPr>
      <w:r>
        <w:t xml:space="preserve">Hiring: QA Automation Lead open now, target start within 8 weeks</w:t>
      </w:r>
    </w:p>
    <w:p>
      <w:pPr>
        <w:pStyle w:val="ListParagraph"/>
        <w:numPr>
          <w:ilvl w:val="0"/>
          <w:numId w:val="2"/>
        </w:numPr>
      </w:pPr>
      <w:r>
        <w:t xml:space="preserve">Infrastructure: GPU/compute budget for model calls signed off</w:t>
      </w:r>
    </w:p>
    <w:p>
      <w:pPr>
        <w:pStyle w:val="ListParagraph"/>
        <w:numPr>
          <w:ilvl w:val="0"/>
          <w:numId w:val="2"/>
        </w:numPr>
      </w:pPr>
      <w:r>
        <w:t xml:space="preserve">Data Access: read access to historical CI/CD run data for defect-risk model</w:t>
      </w:r>
    </w:p>
    <w:p>
      <w:pPr>
        <w:pStyle w:val="ListParagraph"/>
        <w:numPr>
          <w:ilvl w:val="0"/>
          <w:numId w:val="2"/>
        </w:numPr>
      </w:pPr>
      <w:r>
        <w:t xml:space="preserve">Security: Security review of Claude API data handling, completed before pilot starts</w:t>
      </w:r>
    </w:p>
    <w:p>
      <w:pPr>
        <w:pStyle w:val="ListParagraph"/>
        <w:numPr>
          <w:ilvl w:val="0"/>
          <w:numId w:val="2"/>
        </w:numPr>
      </w:pPr>
      <w:r>
        <w:t xml:space="preserve">Sponsor Alignment: Head of Engineering commits 2 pilot squads for 12-week pilot window</w:t>
      </w:r>
    </w:p>
    <w:p>
      <w:pPr>
        <w:pStyle w:val="Heading1"/>
      </w:pPr>
      <w:r>
        <w:rPr>
          <w:color w:val="001B3D"/>
        </w:rPr>
        <w:t xml:space="preserve">11. Appendix — References</w:t>
      </w:r>
    </w:p>
    <w:p>
      <w:pPr>
        <w:pStyle w:val="ListParagraph"/>
        <w:numPr>
          <w:ilvl w:val="0"/>
          <w:numId w:val="2"/>
        </w:numPr>
      </w:pPr>
      <w:r>
        <w:t xml:space="preserve">Multi-Agent Stack Briefing (Malcolm Govender, April 2026) — foundation platform this strategy builds on</w:t>
      </w:r>
    </w:p>
    <w:p>
      <w:pPr>
        <w:pStyle w:val="ListParagraph"/>
        <w:numPr>
          <w:ilvl w:val="0"/>
          <w:numId w:val="2"/>
        </w:numPr>
      </w:pPr>
      <w:r>
        <w:t xml:space="preserve">MoMo Intelligence Centre — live dashboard for AI &amp; Automation programme status</w:t>
      </w:r>
    </w:p>
    <w:p>
      <w:pPr>
        <w:pStyle w:val="ListParagraph"/>
        <w:numPr>
          <w:ilvl w:val="0"/>
          <w:numId w:val="2"/>
        </w:numPr>
      </w:pPr>
      <w:r>
        <w:t xml:space="preserve">MTN Head of AI &amp; Automation JD — scope of the broader division</w:t>
      </w:r>
    </w:p>
    <w:p>
      <w:pPr>
        <w:pStyle w:val="ListParagraph"/>
        <w:numPr>
          <w:ilvl w:val="0"/>
          <w:numId w:val="2"/>
        </w:numPr>
      </w:pPr>
      <w:r>
        <w:t xml:space="preserve">Vendor scan notes — Diffblue, Mabl, CodiumAI, Testim comparison (internal Notion)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Confidential · Page </w:t>
    </w:r>
    <w:r>
      <w:rPr>
        <w:color w:val="8899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6CC" w:sz="6" w:space="4"/>
      </w:pBdr>
      <w:jc w:val="right"/>
    </w:pPr>
    <w:r>
      <w:rPr>
        <w:color w:val="8899AA"/>
        <w:sz w:val="18"/>
        <w:szCs w:val="18"/>
      </w:rPr>
      <w:t xml:space="preserve">MTN Group Fintech · AI &amp; Automation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01B3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01B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Intelligent Test Automation Strategy</dc:title>
  <dc:creator>Malcolm Govender</dc:creator>
  <dc:description>MTN Group Fintech — AI &amp; Automation Division</dc:description>
  <cp:lastModifiedBy>Un-named</cp:lastModifiedBy>
  <cp:revision>1</cp:revision>
  <dcterms:created xsi:type="dcterms:W3CDTF">2026-04-16T00:54:05.315Z</dcterms:created>
  <dcterms:modified xsi:type="dcterms:W3CDTF">2026-04-16T00:54:05.316Z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