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92"/>
      </w:pPr>
      <w:r>
        <w:rPr>
          <w:rFonts w:ascii="Helvetica" w:hAnsi="Helvetica" w:cs="Helvetica"/>
          <w:sz w:val="58"/>
          <w:sz-cs w:val="58"/>
          <w:b/>
          <w:spacing w:val="0"/>
          <w:color w:val="0D121F"/>
        </w:rPr>
        <w:t xml:space="preserve">MTN Group Fintech — Intelligence System Strategy</w:t>
      </w:r>
    </w:p>
    <w:p>
      <w:pPr>
        <w:jc w:val="both"/>
        <w:spacing w:after="640"/>
      </w:pPr>
      <w:r>
        <w:rPr>
          <w:rFonts w:ascii="Helvetica" w:hAnsi="Helvetica" w:cs="Helvetica"/>
          <w:sz w:val="26"/>
          <w:sz-cs w:val="26"/>
          <w:b/>
          <w:spacing w:val="0"/>
          <w:color w:val="526078"/>
        </w:rPr>
        <w:t xml:space="preserve">Artifact bundle (draft for executive review)</w:t>
      </w:r>
      <w:r>
        <w:rPr>
          <w:rFonts w:ascii="Helvetica" w:hAnsi="Helvetica" w:cs="Helvetica"/>
          <w:sz w:val="26"/>
          <w:sz-cs w:val="26"/>
          <w:spacing w:val="0"/>
          <w:color w:val="526078"/>
        </w:rPr>
        <w:t xml:space="preserve"/>
        <w:br/>
        <w:t xml:space="preserve">Prepared for: Programme leadership · Scope: ~70M customers, 13 African markets</w:t>
        <w:br/>
        <w:t xml:space="preserve">Sources: Strategy synthesis from AI Programme / intelligence hub discussion · Date: May 2026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6D6D6D"/>
        </w:rPr>
        <w:t xml:space="preserve"/>
      </w:r>
    </w:p>
    <w:p>
      <w:pPr>
        <w:spacing w:after="309"/>
      </w:pPr>
      <w:r>
        <w:rPr>
          <w:rFonts w:ascii="Helvetica" w:hAnsi="Helvetica" w:cs="Helvetica"/>
          <w:sz w:val="37"/>
          <w:sz-cs w:val="37"/>
          <w:b/>
          <w:spacing w:val="0"/>
          <w:color w:val="0D121F"/>
        </w:rPr>
        <w:t xml:space="preserve">Executive summary</w:t>
      </w:r>
    </w:p>
    <w:p>
      <w:pPr>
        <w:jc w:val="both"/>
        <w:spacing w:after="266"/>
      </w:pP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This document consolidates two strands of guidance: (1) disruptive themes that change how customers interact with MTN Fintech beyond incremental UX improvements, and (2) a deeper treatment of an organisation-wide </w:t>
      </w:r>
      <w:r>
        <w:rPr>
          <w:rFonts w:ascii="Helvetica" w:hAnsi="Helvetica" w:cs="Helvetica"/>
          <w:sz w:val="29"/>
          <w:sz-cs w:val="29"/>
          <w:b/>
          <w:spacing w:val="0"/>
          <w:color w:val="141414"/>
        </w:rPr>
        <w:t xml:space="preserve">intelligence system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—distinct from generic CRM—that addresses fragmented data, weak single-customer visibility, and siloed systems.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6D6D6D"/>
        </w:rPr>
        <w:t xml:space="preserve"/>
      </w:r>
    </w:p>
    <w:p>
      <w:pPr>
        <w:spacing w:after="309"/>
      </w:pPr>
      <w:r>
        <w:rPr>
          <w:rFonts w:ascii="Helvetica" w:hAnsi="Helvetica" w:cs="Helvetica"/>
          <w:sz w:val="37"/>
          <w:sz-cs w:val="37"/>
          <w:b/>
          <w:spacing w:val="0"/>
          <w:color w:val="0D121F"/>
        </w:rPr>
        <w:t xml:space="preserve">Part A — Eight disruptive strategic themes</w:t>
      </w:r>
    </w:p>
    <w:p>
      <w:pPr>
        <w:spacing w:after="320"/>
      </w:pPr>
      <w:r>
        <w:rPr>
          <w:rFonts w:ascii="Helvetica" w:hAnsi="Helvetica" w:cs="Helvetica"/>
          <w:sz w:val="32"/>
          <w:sz-cs w:val="32"/>
          <w:b/>
          <w:spacing w:val="0"/>
          <w:color w:val="273143"/>
        </w:rPr>
        <w:t xml:space="preserve">1. Financial OS — one intelligent layer across products</w:t>
      </w:r>
    </w:p>
    <w:p>
      <w:pPr>
        <w:jc w:val="both"/>
        <w:spacing w:after="266"/>
      </w:pP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Customers juggle airtime, mobile money, savings, loans, and merchant journeys. A disruptive move is one orchestration layer that respects consent and channel (USSD, app, WhatsApp, agent) and coordinates money movement, insurance, bills, and savings—without forcing users to learn internal product boundaries.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9"/>
          <w:sz-cs w:val="29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  <w:color w:val="141414"/>
        </w:rPr>
        <w:t xml:space="preserve">Interaction shift: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From opening each product → stating goals (fees, rent, growth).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9"/>
          <w:sz-cs w:val="29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  <w:color w:val="141414"/>
        </w:rPr>
        <w:t xml:space="preserve">Commercial angle: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Goal-based wallets, smart splits, predictive nudges tied to cash-flow signals (privacy-by-design).</w:t>
      </w:r>
    </w:p>
    <w:p>
      <w:pPr>
        <w:spacing w:after="320"/>
      </w:pPr>
      <w:r>
        <w:rPr>
          <w:rFonts w:ascii="Helvetica" w:hAnsi="Helvetica" w:cs="Helvetica"/>
          <w:sz w:val="32"/>
          <w:sz-cs w:val="32"/>
          <w:b/>
          <w:spacing w:val="0"/>
          <w:color w:val="273143"/>
        </w:rPr>
        <w:t xml:space="preserve">2. Agent + AI copilot for the real economy</w:t>
      </w:r>
    </w:p>
    <w:p>
      <w:pPr>
        <w:jc w:val="both"/>
        <w:spacing w:after="266"/>
      </w:pP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Agents are the retail face of digital money. Superhuman tooling: KYC assist, fraud cues, liquidity forecasting, voice-first training in local languages, outcome-aligned commissions.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9"/>
          <w:sz-cs w:val="29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  <w:color w:val="141414"/>
        </w:rPr>
        <w:t xml:space="preserve">Interaction shift: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Agent as trusted advisor, not only cashier.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9"/>
          <w:sz-cs w:val="29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  <w:color w:val="141414"/>
        </w:rPr>
        <w:t xml:space="preserve">Offers: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Agent SaaS bundles, float credit with behaviour limits, micro-insurance at counter.</w:t>
      </w:r>
    </w:p>
    <w:p>
      <w:pPr>
        <w:spacing w:after="320"/>
      </w:pPr>
      <w:r>
        <w:rPr>
          <w:rFonts w:ascii="Helvetica" w:hAnsi="Helvetica" w:cs="Helvetica"/>
          <w:sz w:val="32"/>
          <w:sz-cs w:val="32"/>
          <w:b/>
          <w:spacing w:val="0"/>
          <w:color w:val="273143"/>
        </w:rPr>
        <w:t xml:space="preserve">3. USSD &amp; feature-phone AI that completes tasks</w:t>
      </w:r>
    </w:p>
    <w:p>
      <w:pPr>
        <w:jc w:val="both"/>
        <w:spacing w:after="266"/>
      </w:pP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Large volumes remain on USSD/SMS. Disruption is task completion (pay, dispute, save, claim) via adaptive short menus plus voice callback where appropriate.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9"/>
          <w:sz-cs w:val="29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  <w:color w:val="141414"/>
        </w:rPr>
        <w:t xml:space="preserve">Offers: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AI-assisted USSD as a B2B2C platform for governments, insurers, logistics.</w:t>
      </w:r>
    </w:p>
    <w:p>
      <w:pPr>
        <w:spacing w:after="320"/>
      </w:pPr>
      <w:r>
        <w:rPr>
          <w:rFonts w:ascii="Helvetica" w:hAnsi="Helvetica" w:cs="Helvetica"/>
          <w:sz w:val="32"/>
          <w:sz-cs w:val="32"/>
          <w:b/>
          <w:spacing w:val="0"/>
          <w:color w:val="273143"/>
        </w:rPr>
        <w:t xml:space="preserve">4. Embedded finance in everyday journeys</w:t>
      </w:r>
    </w:p>
    <w:p>
      <w:pPr>
        <w:jc w:val="both"/>
        <w:spacing w:after="266"/>
      </w:pP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Payments, credit, and insurance embedded in education, health, agriculture, mobility, gig work—not as separate apps.</w:t>
      </w:r>
    </w:p>
    <w:p>
      <w:pPr>
        <w:spacing w:after="320"/>
      </w:pPr>
      <w:r>
        <w:rPr>
          <w:rFonts w:ascii="Helvetica" w:hAnsi="Helvetica" w:cs="Helvetica"/>
          <w:sz w:val="32"/>
          <w:sz-cs w:val="32"/>
          <w:b/>
          <w:spacing w:val="0"/>
          <w:color w:val="273143"/>
        </w:rPr>
        <w:t xml:space="preserve">5. Trust architecture as a product</w:t>
      </w:r>
    </w:p>
    <w:p>
      <w:pPr>
        <w:jc w:val="both"/>
        <w:spacing w:after="266"/>
      </w:pP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Transparent dispute handling, explainable holds, privacy-preserving fraud signals, verifiable receipts (merchant + buyer).</w:t>
      </w:r>
    </w:p>
    <w:p>
      <w:pPr>
        <w:spacing w:after="320"/>
      </w:pPr>
      <w:r>
        <w:rPr>
          <w:rFonts w:ascii="Helvetica" w:hAnsi="Helvetica" w:cs="Helvetica"/>
          <w:sz w:val="32"/>
          <w:sz-cs w:val="32"/>
          <w:b/>
          <w:spacing w:val="0"/>
          <w:color w:val="273143"/>
        </w:rPr>
        <w:t xml:space="preserve">6. Cross-border clarity for families and SMEs</w:t>
      </w:r>
    </w:p>
    <w:p>
      <w:pPr>
        <w:jc w:val="both"/>
        <w:spacing w:after="266"/>
      </w:pP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Quoted fees and paths, predictable settlement, purpose-tagged flows (education, health), SME trade wallets.</w:t>
      </w:r>
    </w:p>
    <w:p>
      <w:pPr>
        <w:spacing w:after="320"/>
      </w:pPr>
      <w:r>
        <w:rPr>
          <w:rFonts w:ascii="Helvetica" w:hAnsi="Helvetica" w:cs="Helvetica"/>
          <w:sz w:val="32"/>
          <w:sz-cs w:val="32"/>
          <w:b/>
          <w:spacing w:val="0"/>
          <w:color w:val="273143"/>
        </w:rPr>
        <w:t xml:space="preserve">7. Network &amp; data as assets (responsible value exchange)</w:t>
      </w:r>
    </w:p>
    <w:p>
      <w:pPr>
        <w:jc w:val="both"/>
        <w:spacing w:after="266"/>
      </w:pP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Opt-in models where clearer consent unlocks fairer pricing or benefits—never covert surveillance.</w:t>
      </w:r>
    </w:p>
    <w:p>
      <w:pPr>
        <w:spacing w:after="320"/>
      </w:pPr>
      <w:r>
        <w:rPr>
          <w:rFonts w:ascii="Helvetica" w:hAnsi="Helvetica" w:cs="Helvetica"/>
          <w:sz w:val="32"/>
          <w:sz-cs w:val="32"/>
          <w:b/>
          <w:spacing w:val="0"/>
          <w:color w:val="273143"/>
        </w:rPr>
        <w:t xml:space="preserve">8. Developer &amp; SME ecosystem</w:t>
      </w:r>
    </w:p>
    <w:p>
      <w:pPr>
        <w:jc w:val="both"/>
        <w:spacing w:after="266"/>
      </w:pP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Sandboxes, APIs, settlement, identity hooks—infrastructure for local innovators and embedded finance partners.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6D6D6D"/>
        </w:rPr>
        <w:t xml:space="preserve"/>
      </w:r>
    </w:p>
    <w:p>
      <w:pPr>
        <w:spacing w:after="309"/>
      </w:pPr>
      <w:r>
        <w:rPr>
          <w:rFonts w:ascii="Helvetica" w:hAnsi="Helvetica" w:cs="Helvetica"/>
          <w:sz w:val="37"/>
          <w:sz-cs w:val="37"/>
          <w:b/>
          <w:spacing w:val="0"/>
          <w:color w:val="0D121F"/>
        </w:rPr>
        <w:t xml:space="preserve">Part B — Expanded view: intelligence system vs generic CRM</w:t>
      </w:r>
    </w:p>
    <w:p>
      <w:pPr>
        <w:spacing w:after="320"/>
      </w:pPr>
      <w:r>
        <w:rPr>
          <w:rFonts w:ascii="Helvetica" w:hAnsi="Helvetica" w:cs="Helvetica"/>
          <w:sz w:val="32"/>
          <w:sz-cs w:val="32"/>
          <w:b/>
          <w:spacing w:val="0"/>
          <w:color w:val="273143"/>
        </w:rPr>
        <w:t xml:space="preserve">Why this is not “a CRM”</w:t>
      </w:r>
    </w:p>
    <w:p>
      <w:pPr>
        <w:jc w:val="both"/>
        <w:spacing w:after="266"/>
      </w:pP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A CRM optimises how internal teams work (pipeline, cases, campaigns). An </w:t>
      </w:r>
      <w:r>
        <w:rPr>
          <w:rFonts w:ascii="Helvetica" w:hAnsi="Helvetica" w:cs="Helvetica"/>
          <w:sz w:val="29"/>
          <w:sz-cs w:val="29"/>
          <w:b/>
          <w:spacing w:val="0"/>
          <w:color w:val="141414"/>
        </w:rPr>
        <w:t xml:space="preserve">intelligence system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optimises how the organisation behaves toward each customer (and merchant/agent) under explicit policy and regulation.</w:t>
      </w:r>
    </w:p>
    <w:p>
      <w:pPr>
        <w:jc w:val="center"/>
      </w:pPr>
      <w:r>
        <w:rPr>
          <w:rFonts w:ascii="Helvetica" w:hAnsi="Helvetica" w:cs="Helvetica"/>
          <w:sz w:val="26"/>
          <w:sz-cs w:val="26"/>
          <w:b/>
          <w:spacing w:val="0"/>
          <w:color w:val="141414"/>
        </w:rPr>
        <w:t xml:space="preserve">Dimension</w:t>
      </w:r>
    </w:p>
    <w:p>
      <w:pPr>
        <w:jc w:val="center"/>
      </w:pPr>
      <w:r>
        <w:rPr>
          <w:rFonts w:ascii="Helvetica" w:hAnsi="Helvetica" w:cs="Helvetica"/>
          <w:sz w:val="26"/>
          <w:sz-cs w:val="26"/>
          <w:b/>
          <w:spacing w:val="0"/>
          <w:color w:val="141414"/>
        </w:rPr>
        <w:t xml:space="preserve">Generic CRM</w:t>
      </w:r>
    </w:p>
    <w:p>
      <w:pPr>
        <w:jc w:val="center"/>
      </w:pPr>
      <w:r>
        <w:rPr>
          <w:rFonts w:ascii="Helvetica" w:hAnsi="Helvetica" w:cs="Helvetica"/>
          <w:sz w:val="26"/>
          <w:sz-cs w:val="26"/>
          <w:b/>
          <w:spacing w:val="0"/>
          <w:color w:val="141414"/>
        </w:rPr>
        <w:t xml:space="preserve">Intelligence system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41414"/>
        </w:rPr>
        <w:t xml:space="preserve">Core object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41414"/>
        </w:rPr>
        <w:t xml:space="preserve">Lead / opportunity / ticket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41414"/>
        </w:rPr>
        <w:t xml:space="preserve">Resolved identity + timeline + intent + risk + context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41414"/>
        </w:rPr>
        <w:t xml:space="preserve">Data model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41414"/>
        </w:rPr>
        <w:t xml:space="preserve">Manual fields + integrations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41414"/>
        </w:rPr>
        <w:t xml:space="preserve">Canonical entities + event spine + relationship graph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41414"/>
        </w:rPr>
        <w:t xml:space="preserve">Outputs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41414"/>
        </w:rPr>
        <w:t xml:space="preserve">Dashboards, lists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41414"/>
        </w:rPr>
        <w:t xml:space="preserve">Scores, triggers, next-best-action, explanations, audit trail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41414"/>
        </w:rPr>
        <w:t xml:space="preserve">Success metric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41414"/>
        </w:rPr>
        <w:t xml:space="preserve">Pipeline velocity, SLA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41414"/>
        </w:rPr>
        <w:t xml:space="preserve">Outcome lift + fairness + compliance evidence</w:t>
      </w:r>
    </w:p>
    <w:p>
      <w:pPr>
        <w:spacing w:after="320"/>
      </w:pPr>
      <w:r>
        <w:rPr>
          <w:rFonts w:ascii="Helvetica" w:hAnsi="Helvetica" w:cs="Helvetica"/>
          <w:sz w:val="32"/>
          <w:sz-cs w:val="32"/>
          <w:b/>
          <w:spacing w:val="0"/>
          <w:color w:val="273143"/>
        </w:rPr>
        <w:t xml:space="preserve">Single customer view = three layers</w:t>
      </w:r>
    </w:p>
    <w:p>
      <w:pPr>
        <w:jc w:val="both"/>
        <w:spacing w:after="266"/>
      </w:pPr>
      <w:r>
        <w:rPr>
          <w:rFonts w:ascii="Helvetica" w:hAnsi="Helvetica" w:cs="Helvetica"/>
          <w:sz w:val="29"/>
          <w:sz-cs w:val="29"/>
          <w:b/>
          <w:spacing w:val="0"/>
          <w:color w:val="141414"/>
        </w:rPr>
        <w:t xml:space="preserve">1. Identity resolution.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Link MSISDN, wallet, app login, agent journeys, merchant IDs, ID documents where permitted—probabilistic matching, rules, and human review for high-stakes cases.</w:t>
      </w:r>
    </w:p>
    <w:p>
      <w:pPr>
        <w:jc w:val="both"/>
        <w:spacing w:after="266"/>
      </w:pPr>
      <w:r>
        <w:rPr>
          <w:rFonts w:ascii="Helvetica" w:hAnsi="Helvetica" w:cs="Helvetica"/>
          <w:sz w:val="29"/>
          <w:sz-cs w:val="29"/>
          <w:b/>
          <w:spacing w:val="0"/>
          <w:color w:val="141414"/>
        </w:rPr>
        <w:t xml:space="preserve">2. Unified timeline.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Append-only event stream: recharge, payments, lending touches, care, USSD/app sessions, agent notes—one chronological truth with source IDs preserved.</w:t>
      </w:r>
    </w:p>
    <w:p>
      <w:pPr>
        <w:jc w:val="both"/>
        <w:spacing w:after="266"/>
      </w:pPr>
      <w:r>
        <w:rPr>
          <w:rFonts w:ascii="Helvetica" w:hAnsi="Helvetica" w:cs="Helvetica"/>
          <w:sz w:val="29"/>
          <w:sz-cs w:val="29"/>
          <w:b/>
          <w:spacing w:val="0"/>
          <w:color w:val="141414"/>
        </w:rPr>
        <w:t xml:space="preserve">3. Interpretation layer.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Derived attributes: liquidity stress, churn, scam exposure, eligibility, next likely need, </w:t>
      </w:r>
      <w:r>
        <w:rPr>
          <w:rFonts w:ascii="Helvetica" w:hAnsi="Helvetica" w:cs="Helvetica"/>
          <w:sz w:val="29"/>
          <w:sz-cs w:val="29"/>
          <w:i/>
          <w:spacing w:val="0"/>
          <w:color w:val="141414"/>
        </w:rPr>
        <w:t xml:space="preserve">reason codes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for recommendations—not only scores.</w:t>
      </w:r>
    </w:p>
    <w:p>
      <w:pPr>
        <w:spacing w:after="320"/>
      </w:pPr>
      <w:r>
        <w:rPr>
          <w:rFonts w:ascii="Helvetica" w:hAnsi="Helvetica" w:cs="Helvetica"/>
          <w:sz w:val="32"/>
          <w:sz-cs w:val="32"/>
          <w:b/>
          <w:spacing w:val="0"/>
          <w:color w:val="273143"/>
        </w:rPr>
        <w:t xml:space="preserve">“Financial OS” in operational terms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Ingest events from billing, MoMo, lending, insurance partners, care, and (where allowed) network usage.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Resolve identity and build the timeline.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Apply policies: credit rules, consent, marketing suppression, vulnerable-customer treatment.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Decide next actions: message, limit change, agent prompt, fee path, education—not random batch campaigns.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Explain for audit and frontline (“why we show this”).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Learn via controlled experiments, not silent model drift.</w:t>
      </w:r>
    </w:p>
    <w:p>
      <w:pPr>
        <w:spacing w:after="320"/>
      </w:pPr>
      <w:r>
        <w:rPr>
          <w:rFonts w:ascii="Helvetica" w:hAnsi="Helvetica" w:cs="Helvetica"/>
          <w:sz w:val="32"/>
          <w:sz-cs w:val="32"/>
          <w:b/>
          <w:spacing w:val="0"/>
          <w:color w:val="273143"/>
        </w:rPr>
        <w:t xml:space="preserve">Integration without Big Bang replacement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9"/>
          <w:sz-cs w:val="29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  <w:color w:val="141414"/>
        </w:rPr>
        <w:t xml:space="preserve">Event-first spine: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domains publish facts (“payment succeeded,” “loan declined—reason X,” “USSD abandoned step 3”) with schemas.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9"/>
          <w:sz-cs w:val="29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  <w:color w:val="141414"/>
        </w:rPr>
        <w:t xml:space="preserve">Canonical party ID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mapping to legacy keys per source.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9"/>
          <w:sz-cs w:val="29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  <w:color w:val="141414"/>
        </w:rPr>
        <w:t xml:space="preserve">Anti-corruption layer: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messy source data stays at source; the intelligence layer translates into canonical events.</w:t>
      </w:r>
    </w:p>
    <w:p>
      <w:pPr>
        <w:spacing w:after="320"/>
      </w:pPr>
      <w:r>
        <w:rPr>
          <w:rFonts w:ascii="Helvetica" w:hAnsi="Helvetica" w:cs="Helvetica"/>
          <w:sz w:val="32"/>
          <w:sz-cs w:val="32"/>
          <w:b/>
          <w:spacing w:val="0"/>
          <w:color w:val="273143"/>
        </w:rPr>
        <w:t xml:space="preserve">Customer-visible disruptive capabilities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9"/>
          <w:sz-cs w:val="29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  <w:color w:val="141414"/>
        </w:rPr>
        <w:t xml:space="preserve">Goal-aware money: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stated goals drive splits, reminders, channel choice, merchant rails.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9"/>
          <w:sz-cs w:val="29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  <w:color w:val="141414"/>
        </w:rPr>
        <w:t xml:space="preserve">Continuity across channels: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USSD ↔ app ↔ agent with role-based masking.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9"/>
          <w:sz-cs w:val="29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  <w:color w:val="141414"/>
        </w:rPr>
        <w:t xml:space="preserve">Pre-emptive trust: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fraud scenarios with clear messaging + agent playbooks.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9"/>
          <w:sz-cs w:val="29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  <w:color w:val="141414"/>
        </w:rPr>
        <w:t xml:space="preserve">Merchant twin: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same architecture for merchants (many people behind one shop).</w:t>
      </w:r>
    </w:p>
    <w:p>
      <w:pPr>
        <w:spacing w:after="320"/>
      </w:pPr>
      <w:r>
        <w:rPr>
          <w:rFonts w:ascii="Helvetica" w:hAnsi="Helvetica" w:cs="Helvetica"/>
          <w:sz w:val="32"/>
          <w:sz-cs w:val="32"/>
          <w:b/>
          <w:spacing w:val="0"/>
          <w:color w:val="273143"/>
        </w:rPr>
        <w:t xml:space="preserve">Internal / strategic capabilities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Next-best-action constrained by regulation and fairness.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Dynamic behavioural segments vs annual CRM hygiene projects.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Unified experimentation with country-level policy wrappers.</w:t>
      </w:r>
    </w:p>
    <w:p>
      <w:pPr>
        <w:spacing w:after="320"/>
      </w:pPr>
      <w:r>
        <w:rPr>
          <w:rFonts w:ascii="Helvetica" w:hAnsi="Helvetica" w:cs="Helvetica"/>
          <w:sz w:val="32"/>
          <w:sz-cs w:val="32"/>
          <w:b/>
          <w:spacing w:val="0"/>
          <w:color w:val="273143"/>
        </w:rPr>
        <w:t xml:space="preserve">Governance (non-negotiable)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Purpose limitation and consent per use case.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Model risk and fairness reviews for credit and pricing-adjacent decisions.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Explainability tiers: deep for regulators/agents; simple for customers.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Human oversight for irreversible or sensitive actions.</w:t>
      </w:r>
    </w:p>
    <w:p>
      <w:pPr>
        <w:spacing w:after="320"/>
      </w:pPr>
      <w:r>
        <w:rPr>
          <w:rFonts w:ascii="Helvetica" w:hAnsi="Helvetica" w:cs="Helvetica"/>
          <w:sz w:val="32"/>
          <w:sz-cs w:val="32"/>
          <w:b/>
          <w:spacing w:val="0"/>
          <w:color w:val="273143"/>
        </w:rPr>
        <w:t xml:space="preserve">Phased delivery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9"/>
          <w:sz-cs w:val="29"/>
          <w:b/>
          <w:color w:val="141414"/>
        </w:rPr>
        <w:t xml:space="preserve"/>
        <w:tab/>
        <w:t xml:space="preserve">1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  <w:color w:val="141414"/>
        </w:rPr>
        <w:t xml:space="preserve">Golden journey: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one high-value journey end-to-end (e.g. liquidity stress, repeat lending funnel, merchant float)—identity + timeline + two intervention models.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9"/>
          <w:sz-cs w:val="29"/>
          <w:b/>
          <w:color w:val="141414"/>
        </w:rPr>
        <w:t xml:space="preserve"/>
        <w:tab/>
        <w:t xml:space="preserve">2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  <w:color w:val="141414"/>
        </w:rPr>
        <w:t xml:space="preserve">Expand event vocabulary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only when each stream improves measurable decisions.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9"/>
          <w:sz-cs w:val="29"/>
          <w:b/>
          <w:color w:val="141414"/>
        </w:rPr>
        <w:t xml:space="preserve"/>
        <w:tab/>
        <w:t xml:space="preserve">3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  <w:color w:val="141414"/>
        </w:rPr>
        <w:t xml:space="preserve">Agent + digital parity: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agents must trust the timeline or customers will not.</w:t>
      </w:r>
    </w:p>
    <w:p>
      <w:pPr>
        <w:spacing w:after="320"/>
      </w:pPr>
      <w:r>
        <w:rPr>
          <w:rFonts w:ascii="Helvetica" w:hAnsi="Helvetica" w:cs="Helvetica"/>
          <w:sz w:val="32"/>
          <w:sz-cs w:val="32"/>
          <w:b/>
          <w:spacing w:val="0"/>
          <w:color w:val="273143"/>
        </w:rPr>
        <w:t xml:space="preserve">Executive positioning (one sentence)</w:t>
      </w:r>
    </w:p>
    <w:p>
      <w:pPr>
        <w:ind w:left="480" w:first-line="-480"/>
        <w:spacing w:after="320"/>
      </w:pPr>
      <w:r>
        <w:rPr>
          <w:rFonts w:ascii="Helvetica" w:hAnsi="Helvetica" w:cs="Helvetica"/>
          <w:sz w:val="29"/>
          <w:sz-cs w:val="29"/>
          <w:i/>
          <w:spacing w:val="0"/>
          <w:color w:val="273143"/>
        </w:rPr>
        <w:t xml:space="preserve">Build a decision-and-memory layer so MTN Fintech behaves as one intelligent institution toward each customer—without pretending that CRM alone fixes fragmentation.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6D6D6D"/>
        </w:rPr>
        <w:t xml:space="preserve"/>
      </w:r>
    </w:p>
    <w:p>
      <w:pPr>
        <w:spacing w:after="309"/>
      </w:pPr>
      <w:r>
        <w:rPr>
          <w:rFonts w:ascii="Helvetica" w:hAnsi="Helvetica" w:cs="Helvetica"/>
          <w:sz w:val="37"/>
          <w:sz-cs w:val="37"/>
          <w:b/>
          <w:spacing w:val="0"/>
          <w:color w:val="0D121F"/>
        </w:rPr>
        <w:t xml:space="preserve">Part C — Next decisions (for programme alignment)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Select </w:t>
      </w:r>
      <w:r>
        <w:rPr>
          <w:rFonts w:ascii="Helvetica" w:hAnsi="Helvetica" w:cs="Helvetica"/>
          <w:sz w:val="29"/>
          <w:sz-cs w:val="29"/>
          <w:b/>
          <w:spacing w:val="0"/>
          <w:color w:val="141414"/>
        </w:rPr>
        <w:t xml:space="preserve">first golden journey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and success metrics (revenue, NPS/trust, regulatory narrative).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Confirm </w:t>
      </w:r>
      <w:r>
        <w:rPr>
          <w:rFonts w:ascii="Helvetica" w:hAnsi="Helvetica" w:cs="Helvetica"/>
          <w:sz w:val="29"/>
          <w:sz-cs w:val="29"/>
          <w:b/>
          <w:spacing w:val="0"/>
          <w:color w:val="141414"/>
        </w:rPr>
        <w:t xml:space="preserve">legal anchors for identity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per operating company.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Choose MVP posture: </w:t>
      </w:r>
      <w:r>
        <w:rPr>
          <w:rFonts w:ascii="Helvetica" w:hAnsi="Helvetica" w:cs="Helvetica"/>
          <w:sz w:val="29"/>
          <w:sz-cs w:val="29"/>
          <w:b/>
          <w:spacing w:val="0"/>
          <w:color w:val="141414"/>
        </w:rPr>
        <w:t xml:space="preserve">orchestration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(customer-visible actions) vs </w:t>
      </w:r>
      <w:r>
        <w:rPr>
          <w:rFonts w:ascii="Helvetica" w:hAnsi="Helvetica" w:cs="Helvetica"/>
          <w:sz w:val="29"/>
          <w:sz-cs w:val="29"/>
          <w:b/>
          <w:spacing w:val="0"/>
          <w:color w:val="141414"/>
        </w:rPr>
        <w:t xml:space="preserve">analytics-only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internal pilot first.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Architecture fork: event bus vs lakehouse-first; batch vs real-time; packaged CDP vs custom intelligence layer—drive from constraint list, not vendor defaults.</w:t>
      </w:r>
    </w:p>
    <w:p>
      <w:pPr>
        <w:jc w:val="both"/>
        <w:spacing w:after="640"/>
      </w:pPr>
      <w:r>
        <w:rPr>
          <w:rFonts w:ascii="Helvetica" w:hAnsi="Helvetica" w:cs="Helvetica"/>
          <w:sz w:val="26"/>
          <w:sz-cs w:val="26"/>
          <w:b/>
          <w:spacing w:val="0"/>
          <w:color w:val="526078"/>
        </w:rPr>
        <w:t xml:space="preserve">Note:</w:t>
      </w:r>
      <w:r>
        <w:rPr>
          <w:rFonts w:ascii="Helvetica" w:hAnsi="Helvetica" w:cs="Helvetica"/>
          <w:sz w:val="26"/>
          <w:sz-cs w:val="26"/>
          <w:spacing w:val="0"/>
          <w:color w:val="526078"/>
        </w:rPr>
        <w:t xml:space="preserve"> Open this file in Microsoft Word (File → Save As → Word Document) or use the companion </w:t>
      </w:r>
      <w:r>
        <w:rPr>
          <w:rFonts w:ascii="Courier" w:hAnsi="Courier" w:cs="Courier"/>
          <w:sz w:val="26"/>
          <w:sz-cs w:val="26"/>
          <w:spacing w:val="0"/>
          <w:color w:val="526078"/>
        </w:rPr>
        <w:t xml:space="preserve">.docx</w:t>
      </w:r>
      <w:r>
        <w:rPr>
          <w:rFonts w:ascii="Helvetica" w:hAnsi="Helvetica" w:cs="Helvetica"/>
          <w:sz w:val="26"/>
          <w:sz-cs w:val="26"/>
          <w:spacing w:val="0"/>
          <w:color w:val="526078"/>
        </w:rPr>
        <w:t xml:space="preserve"> generated in the same folder if present.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CocoaOOXMLWriter/2685.5</generator>
</meta>
</file>