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3864"/>
          <w:sz w:val="36"/>
          <w:szCs w:val="36"/>
        </w:rPr>
        <w:t xml:space="preserve">SDLC 2.0</w:t>
      </w:r>
    </w:p>
    <w:p>
      <w:pPr>
        <w:spacing w:after="20"/>
      </w:pPr>
      <w:r>
        <w:rPr>
          <w:b/>
          <w:bCs/>
          <w:color w:val="0F1F44"/>
          <w:sz w:val="22"/>
          <w:szCs w:val="22"/>
        </w:rPr>
        <w:t xml:space="preserve">AI in every phase of how we build software</w:t>
      </w:r>
    </w:p>
    <w:p>
      <w:pPr>
        <w:spacing w:after="100"/>
      </w:pPr>
      <w:r>
        <w:rPr>
          <w:i/>
          <w:iCs/>
          <w:color w:val="5A5A66"/>
          <w:sz w:val="16"/>
          <w:szCs w:val="16"/>
        </w:rPr>
        <w:t xml:space="preserve">Accelerate delivery  •  Improve quality  •  Reduce cost  •  Strengthen security &amp; governance</w:t>
      </w:r>
    </w:p>
    <w:p>
      <w:pPr>
        <w:pBdr>
          <w:bottom w:val="single" w:color="D9D9D9" w:sz="8" w:space="1"/>
        </w:pBdr>
      </w:pPr>
    </w:p>
    <w:p>
      <w:pPr>
        <w:spacing w:after="60" w:before="140"/>
      </w:pPr>
      <w:r>
        <w:rPr>
          <w:b/>
          <w:bCs/>
          <w:color w:val="0F1F44"/>
          <w:sz w:val="18"/>
          <w:szCs w:val="18"/>
        </w:rPr>
        <w:t xml:space="preserve">The premise</w:t>
      </w:r>
    </w:p>
    <w:p>
      <w:pPr>
        <w:spacing w:after="80" w:line="260"/>
      </w:pPr>
      <w:r>
        <w:rPr>
          <w:sz w:val="18"/>
          <w:szCs w:val="18"/>
        </w:rPr>
        <w:t xml:space="preserve">We are embedding AI — Claude on Microsoft AI Foundry — into every phase of how we build software. Not to replace you. To give you a credible co-worker that drafts, summarises, generates, predicts and validates, so the human work moves to the things that need a human. Every phase. Every team. Governed by default, secure by design.</w:t>
      </w:r>
    </w:p>
    <w:p>
      <w:pPr>
        <w:spacing w:after="60" w:before="100"/>
      </w:pPr>
      <w:r>
        <w:rPr>
          <w:b/>
          <w:bCs/>
          <w:color w:val="0F1F44"/>
          <w:sz w:val="18"/>
          <w:szCs w:val="18"/>
        </w:rPr>
        <w:t xml:space="preserve">Seven phases. One operating model.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60A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shd w:fill="34D3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shd w:fill="A78B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shd w:fill="60A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shd w:fill="34D3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5</w:t>
            </w:r>
          </w:p>
        </w:tc>
        <w:tc>
          <w:tcPr>
            <w:shd w:fill="A78B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6</w:t>
            </w:r>
          </w:p>
        </w:tc>
        <w:tc>
          <w:tcPr>
            <w:shd w:fill="F472B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7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Plan &amp; Requirements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Design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Development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Testing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Deployment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Operations &amp; Monitoring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Maintenance &amp; Evolution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1B1B1F"/>
                <w:sz w:val="15"/>
                <w:szCs w:val="15"/>
              </w:rPr>
              <w:t xml:space="preserve">Summarises source material; extracts requirements from docs and emails; flags gaps; prioritises with data.</w:t>
            </w:r>
          </w:p>
        </w:tc>
        <w:tc>
          <w:tcPr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1B1B1F"/>
                <w:sz w:val="15"/>
                <w:szCs w:val="15"/>
              </w:rPr>
              <w:t xml:space="preserve">Generates architecture options; drafts data models, API contracts, wireframes; flags pattern deviations.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1B1B1F"/>
                <w:sz w:val="15"/>
                <w:szCs w:val="15"/>
              </w:rPr>
              <w:t xml:space="preserve">Inline code completion; generates classes, APIs, refactors; explains code; converts requirements to code.</w:t>
            </w:r>
          </w:p>
        </w:tc>
        <w:tc>
          <w:tcPr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1B1B1F"/>
                <w:sz w:val="15"/>
                <w:szCs w:val="15"/>
              </w:rPr>
              <w:t xml:space="preserve">Generates test cases from stories; creates test data and mocks; drafts automation scripts; summarises results.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1B1B1F"/>
                <w:sz w:val="15"/>
                <w:szCs w:val="15"/>
              </w:rPr>
              <w:t xml:space="preserve">Generates IaC, validates configs, predicts deployment risk, drafts release notes and rollback plans.</w:t>
            </w:r>
          </w:p>
        </w:tc>
        <w:tc>
          <w:tcPr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1B1B1F"/>
                <w:sz w:val="15"/>
                <w:szCs w:val="15"/>
              </w:rPr>
              <w:t xml:space="preserve">Anomaly detection, alert correlation, log summarisation, root-cause hypotheses, runbook generation.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1B1B1F"/>
                <w:sz w:val="15"/>
                <w:szCs w:val="15"/>
              </w:rPr>
              <w:t xml:space="preserve">Synthesises feedback themes, suggests features and refactors, runs impact analysis on proposed changes.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5A5A66"/>
                <w:sz w:val="14"/>
                <w:szCs w:val="14"/>
              </w:rPr>
              <w:t xml:space="preserve">M365 Copilot, Copilot Studio, Foundry</w:t>
            </w:r>
          </w:p>
        </w:tc>
        <w:tc>
          <w:tcPr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5A5A66"/>
                <w:sz w:val="14"/>
                <w:szCs w:val="14"/>
              </w:rPr>
              <w:t xml:space="preserve">Claude on Foundry, GH Copilot, Foundry Prompt Studio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5A5A66"/>
                <w:sz w:val="14"/>
                <w:szCs w:val="14"/>
              </w:rPr>
              <w:t xml:space="preserve">GitHub Copilot Enterprise + GHAS, Claude Code on Foundry, Dev Box</w:t>
            </w:r>
          </w:p>
        </w:tc>
        <w:tc>
          <w:tcPr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5A5A66"/>
                <w:sz w:val="14"/>
                <w:szCs w:val="14"/>
              </w:rPr>
              <w:t xml:space="preserve">GitHub Copilot, Azure DevOps Test Plans, existing test frameworks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5A5A66"/>
                <w:sz w:val="14"/>
                <w:szCs w:val="14"/>
              </w:rPr>
              <w:t xml:space="preserve">GitHub Actions / Azure Pipelines, Defender for Cloud, Azure Policy</w:t>
            </w:r>
          </w:p>
        </w:tc>
        <w:tc>
          <w:tcPr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5A5A66"/>
                <w:sz w:val="14"/>
                <w:szCs w:val="14"/>
              </w:rPr>
              <w:t xml:space="preserve">Sentinel, Azure Monitor, Defender for Cloud, ServiceNow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5A5A66"/>
                <w:sz w:val="14"/>
                <w:szCs w:val="14"/>
              </w:rPr>
              <w:t xml:space="preserve">Claude on Foundry, M365 Copilot, Copilot Studio, Power BI</w:t>
            </w:r>
          </w:p>
        </w:tc>
      </w:tr>
    </w:tbl>
    <w:p>
      <w:pPr>
        <w:spacing w:after="60" w:before="160"/>
      </w:pPr>
      <w:r>
        <w:rPr>
          <w:b/>
          <w:bCs/>
          <w:color w:val="0F1F44"/>
          <w:sz w:val="18"/>
          <w:szCs w:val="18"/>
        </w:rPr>
        <w:t xml:space="preserve">What this delivers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center"/>
            </w:pPr>
            <w:r>
              <w:rPr>
                <w:b/>
                <w:bCs/>
                <w:color w:val="2F7D4F"/>
                <w:sz w:val="18"/>
                <w:szCs w:val="18"/>
              </w:rPr>
              <w:t xml:space="preserve">2–3×</w:t>
            </w:r>
          </w:p>
          <w:p>
            <w:pPr>
              <w:spacing w:after="30" w:line="240"/>
              <w:jc w:val="center"/>
            </w:pPr>
            <w:r>
              <w:rPr>
                <w:b/>
                <w:bCs/>
                <w:color w:val="2F7D4F"/>
                <w:sz w:val="18"/>
                <w:szCs w:val="18"/>
              </w:rPr>
              <w:t xml:space="preserve">Faster delivery</w:t>
            </w:r>
          </w:p>
        </w:tc>
        <w:tc>
          <w:tcPr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center"/>
            </w:pPr>
            <w:r>
              <w:rPr>
                <w:b/>
                <w:bCs/>
                <w:color w:val="2F7D4F"/>
                <w:sz w:val="18"/>
                <w:szCs w:val="18"/>
              </w:rPr>
              <w:t xml:space="preserve">20–40%</w:t>
            </w:r>
          </w:p>
          <w:p>
            <w:pPr>
              <w:spacing w:after="30" w:line="240"/>
              <w:jc w:val="center"/>
            </w:pPr>
            <w:r>
              <w:rPr>
                <w:b/>
                <w:bCs/>
                <w:color w:val="2F7D4F"/>
                <w:sz w:val="18"/>
                <w:szCs w:val="18"/>
              </w:rPr>
              <w:t xml:space="preserve">Lower delivery cost</w:t>
            </w:r>
          </w:p>
        </w:tc>
        <w:tc>
          <w:tcPr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center"/>
            </w:pPr>
            <w:r>
              <w:rPr>
                <w:b/>
                <w:bCs/>
                <w:color w:val="2F7D4F"/>
                <w:sz w:val="18"/>
                <w:szCs w:val="18"/>
              </w:rPr>
              <w:t xml:space="preserve">↓ Defects</w:t>
            </w:r>
          </w:p>
          <w:p>
            <w:pPr>
              <w:spacing w:after="30" w:line="240"/>
              <w:jc w:val="center"/>
            </w:pPr>
            <w:r>
              <w:rPr>
                <w:b/>
                <w:bCs/>
                <w:color w:val="2F7D4F"/>
                <w:sz w:val="18"/>
                <w:szCs w:val="18"/>
              </w:rPr>
              <w:t xml:space="preserve">Higher quality</w:t>
            </w:r>
          </w:p>
        </w:tc>
        <w:tc>
          <w:tcPr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center"/>
            </w:pPr>
            <w:r>
              <w:rPr>
                <w:b/>
                <w:bCs/>
                <w:color w:val="2F7D4F"/>
                <w:sz w:val="18"/>
                <w:szCs w:val="18"/>
              </w:rPr>
              <w:t xml:space="preserve">↑ DevEx</w:t>
            </w:r>
          </w:p>
          <w:p>
            <w:pPr>
              <w:spacing w:after="30" w:line="240"/>
              <w:jc w:val="center"/>
            </w:pPr>
            <w:r>
              <w:rPr>
                <w:b/>
                <w:bCs/>
                <w:color w:val="2F7D4F"/>
                <w:sz w:val="18"/>
                <w:szCs w:val="18"/>
              </w:rPr>
              <w:t xml:space="preserve">Productivity &amp; satisfaction</w:t>
            </w:r>
          </w:p>
        </w:tc>
        <w:tc>
          <w:tcPr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center"/>
            </w:pPr>
            <w:r>
              <w:rPr>
                <w:b/>
                <w:bCs/>
                <w:color w:val="2F7D4F"/>
                <w:sz w:val="18"/>
                <w:szCs w:val="18"/>
              </w:rPr>
              <w:t xml:space="preserve">↓ Time to market</w:t>
            </w:r>
          </w:p>
          <w:p>
            <w:pPr>
              <w:spacing w:after="30" w:line="240"/>
              <w:jc w:val="center"/>
            </w:pPr>
            <w:r>
              <w:rPr>
                <w:b/>
                <w:bCs/>
                <w:color w:val="2F7D4F"/>
                <w:sz w:val="18"/>
                <w:szCs w:val="18"/>
              </w:rPr>
              <w:t xml:space="preserve">Faster innovation</w:t>
            </w:r>
          </w:p>
        </w:tc>
        <w:tc>
          <w:tcPr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center"/>
            </w:pPr>
            <w:r>
              <w:rPr>
                <w:b/>
                <w:bCs/>
                <w:color w:val="2F7D4F"/>
                <w:sz w:val="18"/>
                <w:szCs w:val="18"/>
              </w:rPr>
              <w:t xml:space="preserve">↑ Insight</w:t>
            </w:r>
          </w:p>
          <w:p>
            <w:pPr>
              <w:spacing w:after="30" w:line="240"/>
              <w:jc w:val="center"/>
            </w:pPr>
            <w:r>
              <w:rPr>
                <w:b/>
                <w:bCs/>
                <w:color w:val="2F7D4F"/>
                <w:sz w:val="18"/>
                <w:szCs w:val="18"/>
              </w:rPr>
              <w:t xml:space="preserve">Better decisions</w:t>
            </w:r>
          </w:p>
        </w:tc>
      </w:tr>
    </w:tbl>
    <w:p>
      <w:pPr>
        <w:spacing w:after="60" w:before="160"/>
      </w:pPr>
      <w:r>
        <w:rPr>
          <w:b/>
          <w:bCs/>
          <w:color w:val="0F1F44"/>
          <w:sz w:val="18"/>
          <w:szCs w:val="18"/>
        </w:rPr>
        <w:t xml:space="preserve">What this means for you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If you are a…</w:t>
            </w:r>
          </w:p>
        </w:tc>
        <w:tc>
          <w:tcPr>
            <w:tcW w:type="pct" w:w="78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changes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Engineer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GitHub Copilot Enterprise (or Claude Code on Foundry if in the pilot) is your default in-IDE assistant. Read every suggestion, your name's on the commit. The PR review and security scanning bar doesn't drop.</w:t>
            </w:r>
          </w:p>
        </w:tc>
      </w:tr>
      <w:tr>
        <w:tc>
          <w:tcPr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QA Lead / Tester</w:t>
            </w:r>
          </w:p>
        </w:tc>
        <w:tc>
          <w:tcPr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AI drafts test cases, mocks and automation scripts from user stories. You curate, validate and sign off. Coverage and mutation-testing thresholds are unchanged.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DevOps / SRE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AI helps you write IaC, predict deployment risk, summarise alerts, propose root causes and draft runbooks. Production gates remain human.</w:t>
            </w:r>
          </w:p>
        </w:tc>
      </w:tr>
      <w:tr>
        <w:tc>
          <w:tcPr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Business Analyst / PM</w:t>
            </w:r>
          </w:p>
        </w:tc>
        <w:tc>
          <w:tcPr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AI distils long source documents and feedback corpora into structured backlog candidates and themes. You prioritise. You commit.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Solution Architect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AI generates candidate architectures and contracts; you choose, refine and validate. Architecture review gate remains the same.</w:t>
            </w:r>
          </w:p>
        </w:tc>
      </w:tr>
      <w:tr>
        <w:tc>
          <w:tcPr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Security / Risk / Compliance</w:t>
            </w:r>
          </w:p>
        </w:tc>
        <w:tc>
          <w:tcPr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Same controls as the rest of AI in the organisation — Acceptable Use Policy, Control Register, Monitoring Playbook, Vendor DDQ. SDLC 2.0 inherits, doesn't bypass.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Vendor / staff-augmentation developer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Same approved AI tools as our employees, on our identities, in our environment. SOW Addendum sets the contractual frame; AUP attestation per individual before access.</w:t>
            </w:r>
          </w:p>
        </w:tc>
      </w:tr>
      <w:tr>
        <w:tc>
          <w:tcPr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Anyone curious</w:t>
            </w:r>
          </w:p>
        </w:tc>
        <w:tc>
          <w:tcPr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Read the SDLC 2.0 Strategy doc (full reference). Visit the Intelligence Hub for the live operating picture. Ask in #ai-automation Teams channel.</w:t>
            </w:r>
          </w:p>
        </w:tc>
      </w:tr>
    </w:tbl>
    <w:p>
      <w:pPr>
        <w:spacing w:after="60" w:before="160"/>
      </w:pPr>
      <w:r>
        <w:rPr>
          <w:b/>
          <w:bCs/>
          <w:color w:val="0F1F44"/>
          <w:sz w:val="18"/>
          <w:szCs w:val="18"/>
        </w:rPr>
        <w:t xml:space="preserve">What does NOT change</w:t>
      </w:r>
    </w:p>
    <w:p>
      <w:pPr>
        <w:spacing w:after="40" w:line="240"/>
      </w:pPr>
      <w:r>
        <w:rPr>
          <w:b/>
          <w:bCs/>
          <w:color w:val="1F3864"/>
          <w:sz w:val="16"/>
          <w:szCs w:val="16"/>
        </w:rPr>
        <w:t xml:space="preserve">•  </w:t>
      </w:r>
      <w:r>
        <w:rPr>
          <w:sz w:val="16"/>
          <w:szCs w:val="16"/>
        </w:rPr>
        <w:t xml:space="preserve">You are accountable for what you commit, deploy, send or decide. AI is a tool, not an alibi.</w:t>
      </w:r>
    </w:p>
    <w:p>
      <w:pPr>
        <w:spacing w:after="40" w:line="240"/>
      </w:pPr>
      <w:r>
        <w:rPr>
          <w:b/>
          <w:bCs/>
          <w:color w:val="1F3864"/>
          <w:sz w:val="16"/>
          <w:szCs w:val="16"/>
        </w:rPr>
        <w:t xml:space="preserve">•  </w:t>
      </w:r>
      <w:r>
        <w:rPr>
          <w:sz w:val="16"/>
          <w:szCs w:val="16"/>
        </w:rPr>
        <w:t xml:space="preserve">Code review, security scanning, change-approval gates and customer-impact governance all stay exactly as they are.</w:t>
      </w:r>
    </w:p>
    <w:p>
      <w:pPr>
        <w:spacing w:after="40" w:line="240"/>
      </w:pPr>
      <w:r>
        <w:rPr>
          <w:b/>
          <w:bCs/>
          <w:color w:val="1F3864"/>
          <w:sz w:val="16"/>
          <w:szCs w:val="16"/>
        </w:rPr>
        <w:t xml:space="preserve">•  </w:t>
      </w:r>
      <w:r>
        <w:rPr>
          <w:sz w:val="16"/>
          <w:szCs w:val="16"/>
        </w:rPr>
        <w:t xml:space="preserve">Customer data, secrets and production credentials never enter prompts. Use the approved tools, on managed devices, on synthetic / sanctioned data.</w:t>
      </w:r>
    </w:p>
    <w:p>
      <w:pPr>
        <w:spacing w:after="40" w:line="240"/>
      </w:pPr>
      <w:r>
        <w:rPr>
          <w:b/>
          <w:bCs/>
          <w:color w:val="1F3864"/>
          <w:sz w:val="16"/>
          <w:szCs w:val="16"/>
        </w:rPr>
        <w:t xml:space="preserve">•  </w:t>
      </w:r>
      <w:r>
        <w:rPr>
          <w:sz w:val="16"/>
          <w:szCs w:val="16"/>
        </w:rPr>
        <w:t xml:space="preserve">If you don't know whether a use case needs Council registration, raise it as an intake — that's the lightweight way.</w:t>
      </w:r>
    </w:p>
    <w:p>
      <w:pPr>
        <w:spacing w:after="60" w:before="160"/>
      </w:pPr>
      <w:r>
        <w:rPr>
          <w:b/>
          <w:bCs/>
          <w:color w:val="0F1F44"/>
          <w:sz w:val="18"/>
          <w:szCs w:val="18"/>
        </w:rPr>
        <w:t xml:space="preserve">Where to go for more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 want to…</w:t>
            </w:r>
          </w:p>
        </w:tc>
        <w:tc>
          <w:tcPr>
            <w:tcW w:type="pct" w:w="60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Look at…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Read the full strategy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SDLC 2.0 Strategy v1.0 (full reference doc)</w:t>
            </w:r>
          </w:p>
        </w:tc>
      </w:tr>
      <w:tr>
        <w:tc>
          <w:tcPr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Understand the rules I'm bound by</w:t>
            </w:r>
          </w:p>
        </w:tc>
        <w:tc>
          <w:tcPr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AI Acceptable Use Policy v1.0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Propose an AI use case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AI Use-Case Intake &amp; Tier Scoring Rubric v1.0</w:t>
            </w:r>
          </w:p>
        </w:tc>
      </w:tr>
      <w:tr>
        <w:tc>
          <w:tcPr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See what's live across the function</w:t>
            </w:r>
          </w:p>
        </w:tc>
        <w:tc>
          <w:tcPr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Intelligence Hub site (intranet)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Ask a question / raise something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#ai-automation channel in Teams</w:t>
            </w:r>
          </w:p>
        </w:tc>
      </w:tr>
      <w:tr>
        <w:tc>
          <w:tcPr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Report an AI incident or near-miss</w:t>
            </w:r>
          </w:p>
        </w:tc>
        <w:tc>
          <w:tcPr>
            <w:shd w:fill="F3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40"/>
              <w:jc w:val="left"/>
            </w:pPr>
            <w:r>
              <w:rPr>
                <w:b w:val="false"/>
                <w:bCs w:val="false"/>
                <w:color w:val="1B1B1F"/>
                <w:sz w:val="18"/>
                <w:szCs w:val="18"/>
              </w:rPr>
              <w:t xml:space="preserve">ServiceNow AI Incident form (or SOC hotline for P1)</w:t>
            </w:r>
          </w:p>
        </w:tc>
      </w:tr>
    </w:tbl>
    <w:p>
      <w:pPr>
        <w:spacing w:before="200"/>
      </w:pPr>
      <w:r>
        <w:t xml:space="preserve"> </w:t>
      </w:r>
    </w:p>
    <w:p>
      <w:pPr>
        <w:shd w:fill="1F3864" w:color="auto" w:val="clear"/>
        <w:spacing w:after="40" w:before="60"/>
        <w:jc w:val="center"/>
      </w:pPr>
      <w:r>
        <w:rPr>
          <w:b/>
          <w:bCs/>
          <w:color w:val="FFFFFF"/>
          <w:sz w:val="20"/>
          <w:szCs w:val="20"/>
        </w:rPr>
        <w:t xml:space="preserve">AI-First.  Cloud-Native.  Secure by Design.  Governed by Default.</w:t>
      </w:r>
    </w:p>
    <w:p>
      <w:pPr>
        <w:spacing w:after="20"/>
        <w:jc w:val="center"/>
      </w:pPr>
      <w:r>
        <w:rPr>
          <w:i/>
          <w:iCs/>
          <w:color w:val="5A5A66"/>
          <w:sz w:val="14"/>
          <w:szCs w:val="14"/>
        </w:rPr>
        <w:t xml:space="preserve">Claude in Microsoft AI Foundry, embedded across the SDLC, delivering secure, trusted and high-impact outcomes.</w:t>
      </w:r>
    </w:p>
    <w:p>
      <w:pPr>
        <w:jc w:val="center"/>
      </w:pPr>
      <w:r>
        <w:rPr>
          <w:color w:val="5A5A66"/>
          <w:sz w:val="14"/>
          <w:szCs w:val="14"/>
        </w:rPr>
        <w:t xml:space="preserve">v1.0  •  Owners: Head of AI &amp; Automation + Head of Software Engineering  •  Internal</w:t>
      </w:r>
    </w:p>
    <w:sectPr>
      <w:head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66"/>
        <w:sz w:val="14"/>
        <w:szCs w:val="14"/>
      </w:rPr>
      <w:t xml:space="preserve">SDLC 2.0 — Staff One-Pager  •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B1F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SDLC 2.0 Staff One-Pager v1.0</dc:title>
  <dc:creator>Head of AI &amp; Automation</dc:creator>
  <cp:lastModifiedBy>Un-named</cp:lastModifiedBy>
  <cp:revision>1</cp:revision>
  <dcterms:created xsi:type="dcterms:W3CDTF">2026-04-24T03:21:54.189Z</dcterms:created>
  <dcterms:modified xsi:type="dcterms:W3CDTF">2026-04-24T03:21:54.197Z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