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286A6" w14:textId="0D842387" w:rsidR="00BE2DBE" w:rsidRDefault="00BE2DBE" w:rsidP="00B96FC7">
      <w:pPr>
        <w:spacing w:line="480" w:lineRule="auto"/>
        <w:jc w:val="center"/>
      </w:pPr>
    </w:p>
    <w:p w14:paraId="20F071C4" w14:textId="77777777" w:rsidR="00B96FC7" w:rsidRDefault="00B96FC7" w:rsidP="00B96FC7">
      <w:pPr>
        <w:spacing w:line="480" w:lineRule="auto"/>
        <w:jc w:val="center"/>
      </w:pPr>
    </w:p>
    <w:p w14:paraId="691EF942" w14:textId="490C6905" w:rsidR="00EC1C04" w:rsidRDefault="00A257D8" w:rsidP="00B96FC7">
      <w:pPr>
        <w:spacing w:line="480" w:lineRule="auto"/>
        <w:jc w:val="center"/>
        <w:rPr>
          <w:sz w:val="36"/>
          <w:szCs w:val="36"/>
        </w:rPr>
      </w:pPr>
      <w:r w:rsidRPr="00A257D8">
        <w:rPr>
          <w:sz w:val="36"/>
          <w:szCs w:val="36"/>
        </w:rPr>
        <w:t>Credit-Linked-Investment-Strategy-Back-</w:t>
      </w:r>
      <w:r w:rsidR="00E34815">
        <w:rPr>
          <w:sz w:val="36"/>
          <w:szCs w:val="36"/>
        </w:rPr>
        <w:t>T</w:t>
      </w:r>
      <w:r w:rsidRPr="00A257D8">
        <w:rPr>
          <w:sz w:val="36"/>
          <w:szCs w:val="36"/>
        </w:rPr>
        <w:t>est</w:t>
      </w:r>
    </w:p>
    <w:p w14:paraId="0585B558" w14:textId="77777777" w:rsidR="00EC1C04" w:rsidRDefault="00EC1C04" w:rsidP="00B96FC7">
      <w:pPr>
        <w:spacing w:line="480" w:lineRule="auto"/>
        <w:jc w:val="center"/>
        <w:rPr>
          <w:sz w:val="36"/>
          <w:szCs w:val="36"/>
        </w:rPr>
      </w:pPr>
    </w:p>
    <w:p w14:paraId="6451C9E2" w14:textId="77777777" w:rsidR="00EC1C04" w:rsidRDefault="00EC1C04" w:rsidP="00B96FC7">
      <w:pPr>
        <w:spacing w:line="480" w:lineRule="auto"/>
        <w:jc w:val="center"/>
        <w:rPr>
          <w:sz w:val="36"/>
          <w:szCs w:val="36"/>
        </w:rPr>
      </w:pPr>
    </w:p>
    <w:p w14:paraId="0AFA0CAB" w14:textId="77777777" w:rsidR="00EC1C04" w:rsidRDefault="00EC1C04" w:rsidP="00B96FC7">
      <w:pPr>
        <w:spacing w:line="480" w:lineRule="auto"/>
        <w:jc w:val="center"/>
        <w:rPr>
          <w:sz w:val="36"/>
          <w:szCs w:val="36"/>
        </w:rPr>
      </w:pPr>
    </w:p>
    <w:p w14:paraId="5762FD4D" w14:textId="77777777" w:rsidR="00EC1C04" w:rsidRDefault="00EC1C04" w:rsidP="00B96FC7">
      <w:pPr>
        <w:spacing w:line="480" w:lineRule="auto"/>
        <w:jc w:val="center"/>
        <w:rPr>
          <w:sz w:val="36"/>
          <w:szCs w:val="36"/>
        </w:rPr>
      </w:pPr>
    </w:p>
    <w:p w14:paraId="526AA61E" w14:textId="77777777" w:rsidR="00C113A8" w:rsidRDefault="00C113A8">
      <w:r>
        <w:br w:type="page"/>
      </w:r>
    </w:p>
    <w:p w14:paraId="37F8558F" w14:textId="77777777" w:rsidR="00EF1286" w:rsidRDefault="00C113A8" w:rsidP="00902926">
      <w:pPr>
        <w:spacing w:line="480" w:lineRule="auto"/>
      </w:pPr>
      <w:r>
        <w:lastRenderedPageBreak/>
        <w:tab/>
      </w:r>
    </w:p>
    <w:p w14:paraId="69DE8EA1" w14:textId="03F0DA60" w:rsidR="00A257D8" w:rsidRDefault="00A257D8" w:rsidP="00A257D8">
      <w:pPr>
        <w:spacing w:line="360" w:lineRule="auto"/>
        <w:rPr>
          <w:b/>
          <w:bCs/>
          <w:sz w:val="28"/>
          <w:szCs w:val="28"/>
        </w:rPr>
      </w:pPr>
      <w:r w:rsidRPr="00A257D8">
        <w:rPr>
          <w:b/>
          <w:bCs/>
          <w:sz w:val="28"/>
          <w:szCs w:val="28"/>
        </w:rPr>
        <w:t>Project Overview</w:t>
      </w:r>
    </w:p>
    <w:p w14:paraId="78498B01" w14:textId="12D07D6B" w:rsidR="00DE2379" w:rsidRPr="003C429A" w:rsidRDefault="00CE5995" w:rsidP="00A257D8">
      <w:pPr>
        <w:spacing w:line="360" w:lineRule="auto"/>
        <w:rPr>
          <w:sz w:val="26"/>
          <w:szCs w:val="26"/>
        </w:rPr>
      </w:pPr>
      <w:r w:rsidRPr="003C429A">
        <w:rPr>
          <w:sz w:val="26"/>
          <w:szCs w:val="26"/>
        </w:rPr>
        <w:t xml:space="preserve">This </w:t>
      </w:r>
      <w:r w:rsidRPr="003C429A">
        <w:rPr>
          <w:sz w:val="26"/>
          <w:szCs w:val="26"/>
        </w:rPr>
        <w:t>Credit-Linked-Investment-Strategy-Back-</w:t>
      </w:r>
      <w:r w:rsidR="00E34815" w:rsidRPr="003C429A">
        <w:rPr>
          <w:sz w:val="26"/>
          <w:szCs w:val="26"/>
        </w:rPr>
        <w:t>Test is a quantitative research initiative designed to evaluate the dynamic corporate bond trading strategy over historical market data.</w:t>
      </w:r>
      <w:r w:rsidR="00E34815" w:rsidRPr="003C429A">
        <w:rPr>
          <w:sz w:val="26"/>
          <w:szCs w:val="26"/>
        </w:rPr>
        <w:br/>
        <w:t xml:space="preserve">The goal of this project is to identify bonds whose market prices </w:t>
      </w:r>
      <w:r w:rsidR="003C6F89" w:rsidRPr="003C429A">
        <w:rPr>
          <w:sz w:val="26"/>
          <w:szCs w:val="26"/>
        </w:rPr>
        <w:t>“deviate” from the theoretical value price implied by a credit-pricing model, then construct a portfolio that goes long (buys) bonds deemed undervalued by the model and goes short (sells) bonds deemed overvalued by the model.</w:t>
      </w:r>
      <w:r w:rsidR="00DE2379" w:rsidRPr="003C429A">
        <w:rPr>
          <w:sz w:val="26"/>
          <w:szCs w:val="26"/>
        </w:rPr>
        <w:br/>
        <w:t>Back-testing will measure how the credit-pricing driven model would have performed in terms of returns and risk</w:t>
      </w:r>
      <w:r w:rsidR="00D449D6" w:rsidRPr="003C429A">
        <w:rPr>
          <w:sz w:val="26"/>
          <w:szCs w:val="26"/>
        </w:rPr>
        <w:t>s.</w:t>
      </w:r>
    </w:p>
    <w:p w14:paraId="2D1D1CA0" w14:textId="77777777" w:rsidR="00D449D6" w:rsidRDefault="00D449D6" w:rsidP="00A257D8">
      <w:pPr>
        <w:spacing w:line="360" w:lineRule="auto"/>
        <w:rPr>
          <w:sz w:val="28"/>
          <w:szCs w:val="28"/>
        </w:rPr>
      </w:pPr>
    </w:p>
    <w:p w14:paraId="3C65B8A9" w14:textId="49392B34" w:rsidR="00D449D6" w:rsidRDefault="00D449D6" w:rsidP="00A257D8">
      <w:pPr>
        <w:spacing w:line="360" w:lineRule="auto"/>
        <w:rPr>
          <w:b/>
          <w:bCs/>
          <w:sz w:val="28"/>
          <w:szCs w:val="28"/>
        </w:rPr>
      </w:pPr>
      <w:r>
        <w:rPr>
          <w:b/>
          <w:bCs/>
          <w:sz w:val="28"/>
          <w:szCs w:val="28"/>
        </w:rPr>
        <w:t>Credit-Linked Strategy</w:t>
      </w:r>
    </w:p>
    <w:p w14:paraId="4A6E456C" w14:textId="36F75EB4" w:rsidR="00D449D6" w:rsidRPr="003C429A" w:rsidRDefault="00D449D6" w:rsidP="00A257D8">
      <w:pPr>
        <w:spacing w:line="360" w:lineRule="auto"/>
        <w:rPr>
          <w:sz w:val="26"/>
          <w:szCs w:val="26"/>
        </w:rPr>
      </w:pPr>
      <w:r w:rsidRPr="003C429A">
        <w:rPr>
          <w:i/>
          <w:iCs/>
          <w:sz w:val="26"/>
          <w:szCs w:val="26"/>
        </w:rPr>
        <w:t>Credit-Linked</w:t>
      </w:r>
      <w:r w:rsidRPr="003C429A">
        <w:rPr>
          <w:sz w:val="26"/>
          <w:szCs w:val="26"/>
        </w:rPr>
        <w:t>: exposure driven primarily by corporate credit risk (</w:t>
      </w:r>
      <w:r w:rsidR="006C4570" w:rsidRPr="003C429A">
        <w:rPr>
          <w:sz w:val="26"/>
          <w:szCs w:val="26"/>
        </w:rPr>
        <w:t xml:space="preserve">issuer default risk). </w:t>
      </w:r>
      <w:r w:rsidR="00DD150F" w:rsidRPr="003C429A">
        <w:rPr>
          <w:sz w:val="26"/>
          <w:szCs w:val="26"/>
        </w:rPr>
        <w:t xml:space="preserve">Unlike </w:t>
      </w:r>
      <w:r w:rsidR="007E3BE4" w:rsidRPr="003C429A">
        <w:rPr>
          <w:sz w:val="26"/>
          <w:szCs w:val="26"/>
        </w:rPr>
        <w:t>trading based on equity movements or interest-rate bets, this trading strategy relies on instruments whose prices reflect changes in credit spreads against risk-free options.</w:t>
      </w:r>
    </w:p>
    <w:p w14:paraId="0D43C634" w14:textId="77777777" w:rsidR="00002FF0" w:rsidRPr="003C429A" w:rsidRDefault="009128C1" w:rsidP="00A257D8">
      <w:pPr>
        <w:spacing w:line="360" w:lineRule="auto"/>
        <w:rPr>
          <w:sz w:val="26"/>
          <w:szCs w:val="26"/>
        </w:rPr>
      </w:pPr>
      <w:r w:rsidRPr="003C429A">
        <w:rPr>
          <w:sz w:val="26"/>
          <w:szCs w:val="26"/>
        </w:rPr>
        <w:t>By leveraging a model-implied fair value for each bond, the strategy seeks to profit from the convergence of the current market price to the model’s theoretical value when mispricing exists, either in undervaluation or overvaluation.</w:t>
      </w:r>
    </w:p>
    <w:p w14:paraId="286BD1EB" w14:textId="77777777" w:rsidR="00002FF0" w:rsidRDefault="00002FF0">
      <w:pPr>
        <w:rPr>
          <w:sz w:val="28"/>
          <w:szCs w:val="28"/>
        </w:rPr>
      </w:pPr>
      <w:r>
        <w:rPr>
          <w:sz w:val="28"/>
          <w:szCs w:val="28"/>
        </w:rPr>
        <w:br w:type="page"/>
      </w:r>
    </w:p>
    <w:p w14:paraId="614A8334" w14:textId="4205AAEC" w:rsidR="00002FF0" w:rsidRDefault="00590D3E" w:rsidP="00590D3E">
      <w:pPr>
        <w:tabs>
          <w:tab w:val="left" w:pos="4050"/>
        </w:tabs>
        <w:spacing w:line="360" w:lineRule="auto"/>
        <w:rPr>
          <w:b/>
          <w:bCs/>
          <w:sz w:val="28"/>
          <w:szCs w:val="28"/>
        </w:rPr>
      </w:pPr>
      <w:r>
        <w:rPr>
          <w:b/>
          <w:bCs/>
          <w:sz w:val="28"/>
          <w:szCs w:val="28"/>
        </w:rPr>
        <w:lastRenderedPageBreak/>
        <w:tab/>
      </w:r>
    </w:p>
    <w:p w14:paraId="7B480CDE" w14:textId="4996A307" w:rsidR="00647F60" w:rsidRDefault="00002FF0" w:rsidP="00A257D8">
      <w:pPr>
        <w:spacing w:line="360" w:lineRule="auto"/>
        <w:rPr>
          <w:i/>
          <w:iCs/>
          <w:sz w:val="28"/>
          <w:szCs w:val="28"/>
        </w:rPr>
      </w:pPr>
      <w:r>
        <w:rPr>
          <w:b/>
          <w:bCs/>
          <w:sz w:val="28"/>
          <w:szCs w:val="28"/>
        </w:rPr>
        <w:t>Back-Test Methodology</w:t>
      </w:r>
    </w:p>
    <w:tbl>
      <w:tblPr>
        <w:tblStyle w:val="TableGrid"/>
        <w:tblW w:w="0" w:type="auto"/>
        <w:tblLook w:val="04A0" w:firstRow="1" w:lastRow="0" w:firstColumn="1" w:lastColumn="0" w:noHBand="0" w:noVBand="1"/>
      </w:tblPr>
      <w:tblGrid>
        <w:gridCol w:w="2965"/>
        <w:gridCol w:w="6385"/>
      </w:tblGrid>
      <w:tr w:rsidR="00647F60" w14:paraId="6C67BF4D" w14:textId="77777777" w:rsidTr="00647F60">
        <w:tc>
          <w:tcPr>
            <w:tcW w:w="2965" w:type="dxa"/>
          </w:tcPr>
          <w:p w14:paraId="37BBA099" w14:textId="33571EE7" w:rsidR="00647F60" w:rsidRPr="003C429A" w:rsidRDefault="00647F60" w:rsidP="00590D3E">
            <w:pPr>
              <w:spacing w:line="360" w:lineRule="auto"/>
              <w:jc w:val="center"/>
              <w:rPr>
                <w:sz w:val="26"/>
                <w:szCs w:val="26"/>
              </w:rPr>
            </w:pPr>
            <w:r w:rsidRPr="003C429A">
              <w:rPr>
                <w:i/>
                <w:iCs/>
                <w:sz w:val="26"/>
                <w:szCs w:val="26"/>
              </w:rPr>
              <w:t>Universe Selection</w:t>
            </w:r>
          </w:p>
        </w:tc>
        <w:tc>
          <w:tcPr>
            <w:tcW w:w="6385" w:type="dxa"/>
          </w:tcPr>
          <w:p w14:paraId="340CDC2F" w14:textId="47B65D27" w:rsidR="00647F60" w:rsidRPr="003C429A" w:rsidRDefault="00647F60" w:rsidP="00590D3E">
            <w:pPr>
              <w:spacing w:line="360" w:lineRule="auto"/>
              <w:rPr>
                <w:i/>
                <w:iCs/>
                <w:sz w:val="26"/>
                <w:szCs w:val="26"/>
              </w:rPr>
            </w:pPr>
            <w:r w:rsidRPr="003C429A">
              <w:rPr>
                <w:sz w:val="26"/>
                <w:szCs w:val="26"/>
              </w:rPr>
              <w:t>Define a liquid set of corporate bonds.</w:t>
            </w:r>
          </w:p>
        </w:tc>
      </w:tr>
      <w:tr w:rsidR="00647F60" w14:paraId="313E6064" w14:textId="77777777" w:rsidTr="00647F60">
        <w:tc>
          <w:tcPr>
            <w:tcW w:w="2965" w:type="dxa"/>
          </w:tcPr>
          <w:p w14:paraId="6322F112" w14:textId="3B6C7734" w:rsidR="00647F60" w:rsidRPr="003C429A" w:rsidRDefault="00647F60" w:rsidP="00590D3E">
            <w:pPr>
              <w:spacing w:line="360" w:lineRule="auto"/>
              <w:jc w:val="center"/>
              <w:rPr>
                <w:sz w:val="26"/>
                <w:szCs w:val="26"/>
              </w:rPr>
            </w:pPr>
            <w:r w:rsidRPr="003C429A">
              <w:rPr>
                <w:i/>
                <w:iCs/>
                <w:sz w:val="26"/>
                <w:szCs w:val="26"/>
              </w:rPr>
              <w:t>Signal Generation</w:t>
            </w:r>
          </w:p>
        </w:tc>
        <w:tc>
          <w:tcPr>
            <w:tcW w:w="6385" w:type="dxa"/>
          </w:tcPr>
          <w:p w14:paraId="4E87225E" w14:textId="6F32061E" w:rsidR="00647F60" w:rsidRPr="003C429A" w:rsidRDefault="00647F60" w:rsidP="00590D3E">
            <w:pPr>
              <w:spacing w:line="360" w:lineRule="auto"/>
              <w:rPr>
                <w:i/>
                <w:iCs/>
                <w:sz w:val="26"/>
                <w:szCs w:val="26"/>
              </w:rPr>
            </w:pPr>
            <w:r w:rsidRPr="003C429A">
              <w:rPr>
                <w:sz w:val="26"/>
                <w:szCs w:val="26"/>
              </w:rPr>
              <w:t>Recalculate model-implied fair values daily and</w:t>
            </w:r>
            <w:r w:rsidRPr="003C429A">
              <w:rPr>
                <w:sz w:val="26"/>
                <w:szCs w:val="26"/>
              </w:rPr>
              <w:t xml:space="preserve"> </w:t>
            </w:r>
            <w:r w:rsidRPr="003C429A">
              <w:rPr>
                <w:sz w:val="26"/>
                <w:szCs w:val="26"/>
              </w:rPr>
              <w:t>rank bonds by their mis-pricing signal.</w:t>
            </w:r>
          </w:p>
        </w:tc>
      </w:tr>
      <w:tr w:rsidR="00647F60" w14:paraId="27DB022C" w14:textId="77777777" w:rsidTr="00647F60">
        <w:tc>
          <w:tcPr>
            <w:tcW w:w="2965" w:type="dxa"/>
          </w:tcPr>
          <w:p w14:paraId="4104B9EA" w14:textId="35A556DC" w:rsidR="00647F60" w:rsidRPr="003C429A" w:rsidRDefault="00647F60" w:rsidP="00590D3E">
            <w:pPr>
              <w:spacing w:line="360" w:lineRule="auto"/>
              <w:jc w:val="center"/>
              <w:rPr>
                <w:i/>
                <w:iCs/>
                <w:sz w:val="26"/>
                <w:szCs w:val="26"/>
              </w:rPr>
            </w:pPr>
            <w:r w:rsidRPr="003C429A">
              <w:rPr>
                <w:i/>
                <w:iCs/>
                <w:sz w:val="26"/>
                <w:szCs w:val="26"/>
              </w:rPr>
              <w:t>Portfolio Construction</w:t>
            </w:r>
          </w:p>
        </w:tc>
        <w:tc>
          <w:tcPr>
            <w:tcW w:w="6385" w:type="dxa"/>
          </w:tcPr>
          <w:p w14:paraId="5E0AB938" w14:textId="77777777" w:rsidR="00647F60" w:rsidRPr="003C429A" w:rsidRDefault="00647F60" w:rsidP="00590D3E">
            <w:pPr>
              <w:pStyle w:val="ListParagraph"/>
              <w:numPr>
                <w:ilvl w:val="0"/>
                <w:numId w:val="4"/>
              </w:numPr>
              <w:spacing w:line="360" w:lineRule="auto"/>
              <w:rPr>
                <w:sz w:val="26"/>
                <w:szCs w:val="26"/>
              </w:rPr>
            </w:pPr>
            <w:r w:rsidRPr="003C429A">
              <w:rPr>
                <w:sz w:val="26"/>
                <w:szCs w:val="26"/>
              </w:rPr>
              <w:t>Long basket: Top 100 undervalued bonds.</w:t>
            </w:r>
          </w:p>
          <w:p w14:paraId="67BB5F3B" w14:textId="77777777" w:rsidR="00647F60" w:rsidRPr="003C429A" w:rsidRDefault="00647F60" w:rsidP="00590D3E">
            <w:pPr>
              <w:pStyle w:val="ListParagraph"/>
              <w:numPr>
                <w:ilvl w:val="0"/>
                <w:numId w:val="4"/>
              </w:numPr>
              <w:spacing w:line="360" w:lineRule="auto"/>
              <w:rPr>
                <w:sz w:val="26"/>
                <w:szCs w:val="26"/>
              </w:rPr>
            </w:pPr>
            <w:r w:rsidRPr="003C429A">
              <w:rPr>
                <w:sz w:val="26"/>
                <w:szCs w:val="26"/>
              </w:rPr>
              <w:t>Short basket: Top 100 overvalued bonds.</w:t>
            </w:r>
          </w:p>
          <w:p w14:paraId="6D5D1AD3" w14:textId="4B65FBC4" w:rsidR="00103AC0" w:rsidRPr="003C429A" w:rsidRDefault="00103AC0" w:rsidP="00590D3E">
            <w:pPr>
              <w:pStyle w:val="ListParagraph"/>
              <w:numPr>
                <w:ilvl w:val="0"/>
                <w:numId w:val="4"/>
              </w:numPr>
              <w:spacing w:line="360" w:lineRule="auto"/>
              <w:rPr>
                <w:sz w:val="26"/>
                <w:szCs w:val="26"/>
              </w:rPr>
            </w:pPr>
            <w:r w:rsidRPr="003C429A">
              <w:rPr>
                <w:sz w:val="26"/>
                <w:szCs w:val="26"/>
              </w:rPr>
              <w:t>Apply position size ruling (equal-weight, risk -parity)</w:t>
            </w:r>
          </w:p>
        </w:tc>
      </w:tr>
      <w:tr w:rsidR="00647F60" w14:paraId="52F9AA06" w14:textId="77777777" w:rsidTr="00647F60">
        <w:tc>
          <w:tcPr>
            <w:tcW w:w="2965" w:type="dxa"/>
          </w:tcPr>
          <w:p w14:paraId="17EF0CA8" w14:textId="1600B05B" w:rsidR="00647F60" w:rsidRPr="003C429A" w:rsidRDefault="00647F60" w:rsidP="00590D3E">
            <w:pPr>
              <w:spacing w:line="360" w:lineRule="auto"/>
              <w:jc w:val="center"/>
              <w:rPr>
                <w:i/>
                <w:iCs/>
                <w:sz w:val="26"/>
                <w:szCs w:val="26"/>
              </w:rPr>
            </w:pPr>
            <w:r w:rsidRPr="003C429A">
              <w:rPr>
                <w:i/>
                <w:iCs/>
                <w:sz w:val="26"/>
                <w:szCs w:val="26"/>
              </w:rPr>
              <w:t>Transaction Costs &amp; Slippage</w:t>
            </w:r>
          </w:p>
        </w:tc>
        <w:tc>
          <w:tcPr>
            <w:tcW w:w="6385" w:type="dxa"/>
          </w:tcPr>
          <w:p w14:paraId="48C54520" w14:textId="4652D2CC" w:rsidR="00647F60" w:rsidRPr="003C429A" w:rsidRDefault="00647F60" w:rsidP="00590D3E">
            <w:pPr>
              <w:spacing w:line="360" w:lineRule="auto"/>
              <w:rPr>
                <w:i/>
                <w:iCs/>
                <w:sz w:val="26"/>
                <w:szCs w:val="26"/>
              </w:rPr>
            </w:pPr>
            <w:r w:rsidRPr="003C429A">
              <w:rPr>
                <w:sz w:val="26"/>
                <w:szCs w:val="26"/>
              </w:rPr>
              <w:t>Model bid-ask spreads, liquidity impacts, and financing costs for shorts</w:t>
            </w:r>
            <w:r w:rsidRPr="003C429A">
              <w:rPr>
                <w:sz w:val="26"/>
                <w:szCs w:val="26"/>
              </w:rPr>
              <w:t>.</w:t>
            </w:r>
          </w:p>
        </w:tc>
      </w:tr>
      <w:tr w:rsidR="00647F60" w14:paraId="6033C243" w14:textId="77777777" w:rsidTr="00647F60">
        <w:tc>
          <w:tcPr>
            <w:tcW w:w="2965" w:type="dxa"/>
          </w:tcPr>
          <w:p w14:paraId="4EFC9A5F" w14:textId="2DFFA9D3" w:rsidR="00647F60" w:rsidRPr="003C429A" w:rsidRDefault="00647F60" w:rsidP="00590D3E">
            <w:pPr>
              <w:spacing w:line="360" w:lineRule="auto"/>
              <w:jc w:val="center"/>
              <w:rPr>
                <w:i/>
                <w:iCs/>
                <w:sz w:val="26"/>
                <w:szCs w:val="26"/>
              </w:rPr>
            </w:pPr>
            <w:r w:rsidRPr="003C429A">
              <w:rPr>
                <w:i/>
                <w:iCs/>
                <w:sz w:val="26"/>
                <w:szCs w:val="26"/>
              </w:rPr>
              <w:t>Rebalancin</w:t>
            </w:r>
            <w:r w:rsidRPr="003C429A">
              <w:rPr>
                <w:i/>
                <w:iCs/>
                <w:sz w:val="26"/>
                <w:szCs w:val="26"/>
              </w:rPr>
              <w:t>g</w:t>
            </w:r>
          </w:p>
        </w:tc>
        <w:tc>
          <w:tcPr>
            <w:tcW w:w="6385" w:type="dxa"/>
          </w:tcPr>
          <w:p w14:paraId="4BBB0175" w14:textId="39A766F2" w:rsidR="00647F60" w:rsidRPr="003C429A" w:rsidRDefault="00647F60" w:rsidP="00590D3E">
            <w:pPr>
              <w:spacing w:line="360" w:lineRule="auto"/>
              <w:rPr>
                <w:sz w:val="26"/>
                <w:szCs w:val="26"/>
              </w:rPr>
            </w:pPr>
            <w:r w:rsidRPr="003C429A">
              <w:rPr>
                <w:sz w:val="26"/>
                <w:szCs w:val="26"/>
              </w:rPr>
              <w:t>Periodic (monthly) updates to weights to maintain exposure to evolving signals.</w:t>
            </w:r>
          </w:p>
        </w:tc>
      </w:tr>
    </w:tbl>
    <w:p w14:paraId="0E850173" w14:textId="756B59BD" w:rsidR="00B459A2" w:rsidRDefault="00B459A2" w:rsidP="00BC469E">
      <w:pPr>
        <w:spacing w:line="360" w:lineRule="auto"/>
        <w:rPr>
          <w:i/>
          <w:iCs/>
          <w:sz w:val="28"/>
          <w:szCs w:val="28"/>
        </w:rPr>
      </w:pPr>
    </w:p>
    <w:p w14:paraId="7F3C6B2D" w14:textId="163EB072" w:rsidR="00103AC0" w:rsidRDefault="00E96454" w:rsidP="00BC469E">
      <w:pPr>
        <w:spacing w:line="360" w:lineRule="auto"/>
        <w:rPr>
          <w:b/>
          <w:bCs/>
          <w:sz w:val="28"/>
          <w:szCs w:val="28"/>
        </w:rPr>
      </w:pPr>
      <w:r>
        <w:rPr>
          <w:b/>
          <w:bCs/>
          <w:sz w:val="28"/>
          <w:szCs w:val="28"/>
        </w:rPr>
        <w:t>Performance Report</w:t>
      </w:r>
    </w:p>
    <w:p w14:paraId="71F25C50" w14:textId="0079EE6A" w:rsidR="00E96454" w:rsidRPr="003C429A" w:rsidRDefault="00E96454" w:rsidP="00E96454">
      <w:pPr>
        <w:pStyle w:val="ListParagraph"/>
        <w:numPr>
          <w:ilvl w:val="0"/>
          <w:numId w:val="4"/>
        </w:numPr>
        <w:spacing w:line="360" w:lineRule="auto"/>
        <w:rPr>
          <w:sz w:val="26"/>
          <w:szCs w:val="26"/>
        </w:rPr>
      </w:pPr>
      <w:r w:rsidRPr="003C429A">
        <w:rPr>
          <w:sz w:val="26"/>
          <w:szCs w:val="26"/>
        </w:rPr>
        <w:t>Total Return &amp; Annualized Return: Measures compounded gains or losses over the test period.</w:t>
      </w:r>
    </w:p>
    <w:p w14:paraId="02E2FBC0" w14:textId="77777777" w:rsidR="00E96454" w:rsidRPr="003C429A" w:rsidRDefault="00E96454" w:rsidP="00E96454">
      <w:pPr>
        <w:pStyle w:val="ListParagraph"/>
        <w:numPr>
          <w:ilvl w:val="0"/>
          <w:numId w:val="4"/>
        </w:numPr>
        <w:spacing w:line="360" w:lineRule="auto"/>
        <w:rPr>
          <w:sz w:val="26"/>
          <w:szCs w:val="26"/>
        </w:rPr>
      </w:pPr>
      <w:r w:rsidRPr="003C429A">
        <w:rPr>
          <w:sz w:val="26"/>
          <w:szCs w:val="26"/>
        </w:rPr>
        <w:t>Information Ratio (IR): Excess return of the strategy over a benchmark (broad corporate bond index), divided by tracking error (gauge risk-adjusted skill).</w:t>
      </w:r>
    </w:p>
    <w:p w14:paraId="523D1578" w14:textId="77777777" w:rsidR="00E96454" w:rsidRPr="003C429A" w:rsidRDefault="00E96454" w:rsidP="00E96454">
      <w:pPr>
        <w:pStyle w:val="ListParagraph"/>
        <w:numPr>
          <w:ilvl w:val="0"/>
          <w:numId w:val="4"/>
        </w:numPr>
        <w:spacing w:line="360" w:lineRule="auto"/>
        <w:rPr>
          <w:sz w:val="26"/>
          <w:szCs w:val="26"/>
        </w:rPr>
      </w:pPr>
      <w:r w:rsidRPr="003C429A">
        <w:rPr>
          <w:sz w:val="26"/>
          <w:szCs w:val="26"/>
        </w:rPr>
        <w:t>Sharpe Ratio: Average strategy excess return divided by its volatility to assess reward per unit of total risk.</w:t>
      </w:r>
    </w:p>
    <w:p w14:paraId="274D296E" w14:textId="505E9A8D" w:rsidR="00A46215" w:rsidRPr="003C429A" w:rsidRDefault="00E96454" w:rsidP="00E96454">
      <w:pPr>
        <w:pStyle w:val="ListParagraph"/>
        <w:numPr>
          <w:ilvl w:val="0"/>
          <w:numId w:val="4"/>
        </w:numPr>
        <w:spacing w:line="360" w:lineRule="auto"/>
        <w:rPr>
          <w:sz w:val="26"/>
          <w:szCs w:val="26"/>
        </w:rPr>
      </w:pPr>
      <w:r w:rsidRPr="003C429A">
        <w:rPr>
          <w:sz w:val="26"/>
          <w:szCs w:val="26"/>
        </w:rPr>
        <w:t xml:space="preserve">Drawdown Analysis: Maximum peak to trough </w:t>
      </w:r>
      <w:proofErr w:type="gramStart"/>
      <w:r w:rsidRPr="003C429A">
        <w:rPr>
          <w:sz w:val="26"/>
          <w:szCs w:val="26"/>
        </w:rPr>
        <w:t>decline</w:t>
      </w:r>
      <w:proofErr w:type="gramEnd"/>
      <w:r w:rsidRPr="003C429A">
        <w:rPr>
          <w:sz w:val="26"/>
          <w:szCs w:val="26"/>
        </w:rPr>
        <w:t xml:space="preserve"> highlights worst-case histo</w:t>
      </w:r>
      <w:r w:rsidR="00A46215" w:rsidRPr="003C429A">
        <w:rPr>
          <w:sz w:val="26"/>
          <w:szCs w:val="26"/>
        </w:rPr>
        <w:t>ri</w:t>
      </w:r>
      <w:r w:rsidRPr="003C429A">
        <w:rPr>
          <w:sz w:val="26"/>
          <w:szCs w:val="26"/>
        </w:rPr>
        <w:t>cal losses and recover</w:t>
      </w:r>
      <w:r w:rsidR="00A46215" w:rsidRPr="003C429A">
        <w:rPr>
          <w:sz w:val="26"/>
          <w:szCs w:val="26"/>
        </w:rPr>
        <w:t>y time.</w:t>
      </w:r>
      <w:r w:rsidRPr="003C429A">
        <w:rPr>
          <w:sz w:val="26"/>
          <w:szCs w:val="26"/>
        </w:rPr>
        <w:t xml:space="preserve"> </w:t>
      </w:r>
    </w:p>
    <w:p w14:paraId="585BE1AC" w14:textId="77777777" w:rsidR="00A46215" w:rsidRDefault="00A46215">
      <w:r>
        <w:br w:type="page"/>
      </w:r>
    </w:p>
    <w:p w14:paraId="0B9E7A09" w14:textId="77777777" w:rsidR="001C5C59" w:rsidRDefault="001C5C59" w:rsidP="001C5C59">
      <w:pPr>
        <w:spacing w:line="360" w:lineRule="auto"/>
        <w:rPr>
          <w:sz w:val="28"/>
          <w:szCs w:val="28"/>
        </w:rPr>
      </w:pPr>
    </w:p>
    <w:p w14:paraId="588997CA" w14:textId="77777777" w:rsidR="003C429A" w:rsidRDefault="001C5C59" w:rsidP="001C5C59">
      <w:pPr>
        <w:spacing w:line="360" w:lineRule="auto"/>
        <w:rPr>
          <w:b/>
          <w:bCs/>
          <w:sz w:val="28"/>
          <w:szCs w:val="28"/>
        </w:rPr>
      </w:pPr>
      <w:r>
        <w:rPr>
          <w:b/>
          <w:bCs/>
          <w:sz w:val="28"/>
          <w:szCs w:val="28"/>
        </w:rPr>
        <w:t>Risk Report</w:t>
      </w:r>
    </w:p>
    <w:p w14:paraId="0F0D5C03" w14:textId="3BE9CB77" w:rsidR="003C429A" w:rsidRPr="003C429A" w:rsidRDefault="001C5C59" w:rsidP="001C5C59">
      <w:pPr>
        <w:pStyle w:val="ListParagraph"/>
        <w:numPr>
          <w:ilvl w:val="0"/>
          <w:numId w:val="4"/>
        </w:numPr>
        <w:spacing w:line="360" w:lineRule="auto"/>
        <w:rPr>
          <w:b/>
          <w:bCs/>
          <w:sz w:val="26"/>
          <w:szCs w:val="26"/>
        </w:rPr>
      </w:pPr>
      <w:r w:rsidRPr="003C429A">
        <w:rPr>
          <w:sz w:val="26"/>
          <w:szCs w:val="26"/>
        </w:rPr>
        <w:t xml:space="preserve">Value at Risk (V </w:t>
      </w:r>
      <w:proofErr w:type="spellStart"/>
      <w:r w:rsidRPr="003C429A">
        <w:rPr>
          <w:sz w:val="26"/>
          <w:szCs w:val="26"/>
        </w:rPr>
        <w:t>aR</w:t>
      </w:r>
      <w:proofErr w:type="spellEnd"/>
      <w:r w:rsidRPr="003C429A">
        <w:rPr>
          <w:sz w:val="26"/>
          <w:szCs w:val="26"/>
        </w:rPr>
        <w:t>): Estimate of potential loss over a given horizon at a specified</w:t>
      </w:r>
      <w:r w:rsidR="003C429A" w:rsidRPr="003C429A">
        <w:rPr>
          <w:sz w:val="26"/>
          <w:szCs w:val="26"/>
        </w:rPr>
        <w:t xml:space="preserve"> </w:t>
      </w:r>
      <w:r w:rsidRPr="003C429A">
        <w:rPr>
          <w:sz w:val="26"/>
          <w:szCs w:val="26"/>
        </w:rPr>
        <w:t>confidence level</w:t>
      </w:r>
      <w:r w:rsidR="003C429A" w:rsidRPr="003C429A">
        <w:rPr>
          <w:sz w:val="26"/>
          <w:szCs w:val="26"/>
        </w:rPr>
        <w:t>.</w:t>
      </w:r>
    </w:p>
    <w:p w14:paraId="1B96319F" w14:textId="3D09B000" w:rsidR="003C429A" w:rsidRPr="003C429A" w:rsidRDefault="003C429A" w:rsidP="001C5C59">
      <w:pPr>
        <w:pStyle w:val="ListParagraph"/>
        <w:numPr>
          <w:ilvl w:val="0"/>
          <w:numId w:val="4"/>
        </w:numPr>
        <w:spacing w:line="360" w:lineRule="auto"/>
        <w:rPr>
          <w:b/>
          <w:bCs/>
          <w:sz w:val="26"/>
          <w:szCs w:val="26"/>
        </w:rPr>
      </w:pPr>
      <w:r w:rsidRPr="003C429A">
        <w:rPr>
          <w:sz w:val="26"/>
          <w:szCs w:val="26"/>
        </w:rPr>
        <w:t>Stress Testing: Simulate extreme credit-spread widening scenarios (i.e. 2008 crisis levels) to assess portfolio resilience.</w:t>
      </w:r>
    </w:p>
    <w:p w14:paraId="39543D64" w14:textId="263BDD54" w:rsidR="003C429A" w:rsidRPr="003C429A" w:rsidRDefault="003C429A" w:rsidP="001C5C59">
      <w:pPr>
        <w:pStyle w:val="ListParagraph"/>
        <w:numPr>
          <w:ilvl w:val="0"/>
          <w:numId w:val="4"/>
        </w:numPr>
        <w:spacing w:line="360" w:lineRule="auto"/>
        <w:rPr>
          <w:b/>
          <w:bCs/>
          <w:sz w:val="26"/>
          <w:szCs w:val="26"/>
        </w:rPr>
      </w:pPr>
      <w:r w:rsidRPr="003C429A">
        <w:rPr>
          <w:sz w:val="26"/>
          <w:szCs w:val="26"/>
        </w:rPr>
        <w:t>Sector &amp; Issuer Concentration: Ensure diversification by monitoring the percentage exposure to any single industry or issuer.</w:t>
      </w:r>
    </w:p>
    <w:p w14:paraId="5084135F" w14:textId="175EF594" w:rsidR="003C429A" w:rsidRPr="003C429A" w:rsidRDefault="003C429A" w:rsidP="001C5C59">
      <w:pPr>
        <w:pStyle w:val="ListParagraph"/>
        <w:numPr>
          <w:ilvl w:val="0"/>
          <w:numId w:val="4"/>
        </w:numPr>
        <w:spacing w:line="360" w:lineRule="auto"/>
        <w:rPr>
          <w:b/>
          <w:bCs/>
          <w:sz w:val="26"/>
          <w:szCs w:val="26"/>
        </w:rPr>
      </w:pPr>
      <w:r w:rsidRPr="003C429A">
        <w:rPr>
          <w:sz w:val="26"/>
          <w:szCs w:val="26"/>
        </w:rPr>
        <w:t>Liquidity Metrics: Average daily trading volume and bid-ask spread statistics for the bonds in the portfolio, evaluating how quickly positions could be entered/exited under stress.</w:t>
      </w:r>
    </w:p>
    <w:sectPr w:rsidR="003C429A" w:rsidRPr="003C429A" w:rsidSect="00712882">
      <w:headerReference w:type="default" r:id="rId8"/>
      <w:footerReference w:type="even" r:id="rId9"/>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F092B" w14:textId="77777777" w:rsidR="002C61D4" w:rsidRDefault="002C61D4" w:rsidP="002C61D4">
      <w:pPr>
        <w:spacing w:after="0" w:line="240" w:lineRule="auto"/>
      </w:pPr>
      <w:r>
        <w:separator/>
      </w:r>
    </w:p>
  </w:endnote>
  <w:endnote w:type="continuationSeparator" w:id="0">
    <w:p w14:paraId="5A2FE723" w14:textId="77777777" w:rsidR="002C61D4" w:rsidRDefault="002C61D4" w:rsidP="002C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7809465"/>
      <w:docPartObj>
        <w:docPartGallery w:val="Page Numbers (Bottom of Page)"/>
        <w:docPartUnique/>
      </w:docPartObj>
    </w:sdtPr>
    <w:sdtEndPr>
      <w:rPr>
        <w:rStyle w:val="PageNumber"/>
      </w:rPr>
    </w:sdtEndPr>
    <w:sdtContent>
      <w:p w14:paraId="294244D3" w14:textId="1E6FF0AF" w:rsidR="00712882" w:rsidRDefault="00712882" w:rsidP="009045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35877" w14:textId="77777777" w:rsidR="003C745F" w:rsidRDefault="003C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8315535"/>
      <w:docPartObj>
        <w:docPartGallery w:val="Page Numbers (Bottom of Page)"/>
        <w:docPartUnique/>
      </w:docPartObj>
    </w:sdtPr>
    <w:sdtEndPr>
      <w:rPr>
        <w:rStyle w:val="PageNumber"/>
      </w:rPr>
    </w:sdtEndPr>
    <w:sdtContent>
      <w:p w14:paraId="2DF487A0" w14:textId="1840AFBD" w:rsidR="00712882" w:rsidRDefault="00712882" w:rsidP="009045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CBB335A" w14:textId="77777777" w:rsidR="003C745F" w:rsidRDefault="003C7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9EA9D" w14:textId="77777777" w:rsidR="002C61D4" w:rsidRDefault="002C61D4" w:rsidP="002C61D4">
      <w:pPr>
        <w:spacing w:after="0" w:line="240" w:lineRule="auto"/>
      </w:pPr>
      <w:r>
        <w:separator/>
      </w:r>
    </w:p>
  </w:footnote>
  <w:footnote w:type="continuationSeparator" w:id="0">
    <w:p w14:paraId="486298F6" w14:textId="77777777" w:rsidR="002C61D4" w:rsidRDefault="002C61D4" w:rsidP="002C6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7931" w14:textId="10140B25" w:rsidR="00712882" w:rsidRDefault="006E09D1">
    <w:pPr>
      <w:pStyle w:val="Header"/>
    </w:pPr>
    <w:r>
      <w:t xml:space="preserve">Title: </w:t>
    </w:r>
    <w:r w:rsidRPr="006E09D1">
      <w:t>Credit-Linked-Investment-Strategy-Back-</w:t>
    </w:r>
    <w:r w:rsidR="00E34815">
      <w:t>T</w:t>
    </w:r>
    <w:r w:rsidRPr="006E09D1">
      <w:t>est</w:t>
    </w:r>
  </w:p>
  <w:p w14:paraId="43C2F85B" w14:textId="63DB97BC" w:rsidR="006E09D1" w:rsidRDefault="00A257D8">
    <w:pPr>
      <w:pStyle w:val="Header"/>
    </w:pPr>
    <w:r>
      <w:t>Jooahn Park</w:t>
    </w:r>
  </w:p>
  <w:p w14:paraId="423A056D" w14:textId="40E42A9E" w:rsidR="00A257D8" w:rsidRDefault="00A257D8">
    <w:pPr>
      <w:pStyle w:val="Header"/>
    </w:pPr>
    <w:r>
      <w:t>05/14/2025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A72"/>
    <w:multiLevelType w:val="hybridMultilevel"/>
    <w:tmpl w:val="9690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91E91"/>
    <w:multiLevelType w:val="hybridMultilevel"/>
    <w:tmpl w:val="680C29CC"/>
    <w:lvl w:ilvl="0" w:tplc="F7F040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205D4"/>
    <w:multiLevelType w:val="multilevel"/>
    <w:tmpl w:val="99A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227F0"/>
    <w:multiLevelType w:val="multilevel"/>
    <w:tmpl w:val="9EC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02183">
    <w:abstractNumId w:val="0"/>
  </w:num>
  <w:num w:numId="2" w16cid:durableId="1851064745">
    <w:abstractNumId w:val="3"/>
  </w:num>
  <w:num w:numId="3" w16cid:durableId="1797331864">
    <w:abstractNumId w:val="2"/>
  </w:num>
  <w:num w:numId="4" w16cid:durableId="151646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BE"/>
    <w:rsid w:val="00002FF0"/>
    <w:rsid w:val="00050446"/>
    <w:rsid w:val="000504DF"/>
    <w:rsid w:val="000B72A6"/>
    <w:rsid w:val="000C5281"/>
    <w:rsid w:val="000C6F7C"/>
    <w:rsid w:val="000D25AE"/>
    <w:rsid w:val="00103AC0"/>
    <w:rsid w:val="00104035"/>
    <w:rsid w:val="00130207"/>
    <w:rsid w:val="0016569F"/>
    <w:rsid w:val="00187EC3"/>
    <w:rsid w:val="001B5AE7"/>
    <w:rsid w:val="001C5C59"/>
    <w:rsid w:val="001E2663"/>
    <w:rsid w:val="001F5BA5"/>
    <w:rsid w:val="00203FCA"/>
    <w:rsid w:val="00221F51"/>
    <w:rsid w:val="00270B60"/>
    <w:rsid w:val="002A7321"/>
    <w:rsid w:val="002B2E0A"/>
    <w:rsid w:val="002B600A"/>
    <w:rsid w:val="002C2B3A"/>
    <w:rsid w:val="002C46FB"/>
    <w:rsid w:val="002C61D4"/>
    <w:rsid w:val="002D034E"/>
    <w:rsid w:val="00320181"/>
    <w:rsid w:val="00325F5C"/>
    <w:rsid w:val="003C429A"/>
    <w:rsid w:val="003C4CEA"/>
    <w:rsid w:val="003C6F89"/>
    <w:rsid w:val="003C745F"/>
    <w:rsid w:val="00405B3B"/>
    <w:rsid w:val="00437114"/>
    <w:rsid w:val="00437715"/>
    <w:rsid w:val="00445599"/>
    <w:rsid w:val="004460E8"/>
    <w:rsid w:val="0045070A"/>
    <w:rsid w:val="00467F70"/>
    <w:rsid w:val="00470378"/>
    <w:rsid w:val="004751DD"/>
    <w:rsid w:val="00501FD4"/>
    <w:rsid w:val="00502CBD"/>
    <w:rsid w:val="00510FE3"/>
    <w:rsid w:val="005138FE"/>
    <w:rsid w:val="00514000"/>
    <w:rsid w:val="00540458"/>
    <w:rsid w:val="0054625B"/>
    <w:rsid w:val="00590D3E"/>
    <w:rsid w:val="005B1699"/>
    <w:rsid w:val="005D1F49"/>
    <w:rsid w:val="00616D19"/>
    <w:rsid w:val="006356D6"/>
    <w:rsid w:val="00640775"/>
    <w:rsid w:val="00647F60"/>
    <w:rsid w:val="006635A3"/>
    <w:rsid w:val="00666877"/>
    <w:rsid w:val="00672AC1"/>
    <w:rsid w:val="00683EFF"/>
    <w:rsid w:val="006C4570"/>
    <w:rsid w:val="006E09D1"/>
    <w:rsid w:val="006E1842"/>
    <w:rsid w:val="00701E8A"/>
    <w:rsid w:val="00712882"/>
    <w:rsid w:val="00727067"/>
    <w:rsid w:val="0073526A"/>
    <w:rsid w:val="00754DB0"/>
    <w:rsid w:val="007B22AA"/>
    <w:rsid w:val="007B6AE3"/>
    <w:rsid w:val="007E3BE4"/>
    <w:rsid w:val="00802035"/>
    <w:rsid w:val="00810999"/>
    <w:rsid w:val="00850610"/>
    <w:rsid w:val="00852309"/>
    <w:rsid w:val="00882489"/>
    <w:rsid w:val="008A58C4"/>
    <w:rsid w:val="008C7D1F"/>
    <w:rsid w:val="00902926"/>
    <w:rsid w:val="009058EE"/>
    <w:rsid w:val="009128C1"/>
    <w:rsid w:val="00931CD4"/>
    <w:rsid w:val="00952560"/>
    <w:rsid w:val="009A2542"/>
    <w:rsid w:val="009C69B1"/>
    <w:rsid w:val="00A06698"/>
    <w:rsid w:val="00A257D8"/>
    <w:rsid w:val="00A46215"/>
    <w:rsid w:val="00A473BA"/>
    <w:rsid w:val="00A56A80"/>
    <w:rsid w:val="00A847E4"/>
    <w:rsid w:val="00A95B30"/>
    <w:rsid w:val="00AA5642"/>
    <w:rsid w:val="00AB37AA"/>
    <w:rsid w:val="00B41E74"/>
    <w:rsid w:val="00B459A2"/>
    <w:rsid w:val="00B51423"/>
    <w:rsid w:val="00B94D49"/>
    <w:rsid w:val="00B96FC7"/>
    <w:rsid w:val="00BC469E"/>
    <w:rsid w:val="00BE2DBE"/>
    <w:rsid w:val="00C01EAA"/>
    <w:rsid w:val="00C113A8"/>
    <w:rsid w:val="00C2088E"/>
    <w:rsid w:val="00C45A21"/>
    <w:rsid w:val="00CA1BB1"/>
    <w:rsid w:val="00CE5995"/>
    <w:rsid w:val="00CE6B71"/>
    <w:rsid w:val="00CF1397"/>
    <w:rsid w:val="00D015C0"/>
    <w:rsid w:val="00D449D6"/>
    <w:rsid w:val="00D44A47"/>
    <w:rsid w:val="00D50E86"/>
    <w:rsid w:val="00D7103B"/>
    <w:rsid w:val="00DA0999"/>
    <w:rsid w:val="00DD150F"/>
    <w:rsid w:val="00DE2379"/>
    <w:rsid w:val="00DF15DE"/>
    <w:rsid w:val="00E004AC"/>
    <w:rsid w:val="00E34815"/>
    <w:rsid w:val="00E7135C"/>
    <w:rsid w:val="00E96454"/>
    <w:rsid w:val="00EA63F8"/>
    <w:rsid w:val="00EC1C04"/>
    <w:rsid w:val="00EC256D"/>
    <w:rsid w:val="00EE4118"/>
    <w:rsid w:val="00EF1286"/>
    <w:rsid w:val="00F10F81"/>
    <w:rsid w:val="00F23D50"/>
    <w:rsid w:val="00F82602"/>
    <w:rsid w:val="00F85EF0"/>
    <w:rsid w:val="00FB5EFC"/>
    <w:rsid w:val="00FB7A4D"/>
    <w:rsid w:val="00FC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13B1"/>
  <w15:chartTrackingRefBased/>
  <w15:docId w15:val="{769495D6-2B21-0040-A131-5DF39EB8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2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2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DBE"/>
    <w:rPr>
      <w:rFonts w:eastAsiaTheme="majorEastAsia" w:cstheme="majorBidi"/>
      <w:color w:val="272727" w:themeColor="text1" w:themeTint="D8"/>
    </w:rPr>
  </w:style>
  <w:style w:type="paragraph" w:styleId="Title">
    <w:name w:val="Title"/>
    <w:basedOn w:val="Normal"/>
    <w:next w:val="Normal"/>
    <w:link w:val="TitleChar"/>
    <w:uiPriority w:val="10"/>
    <w:qFormat/>
    <w:rsid w:val="00BE2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DBE"/>
    <w:pPr>
      <w:spacing w:before="160"/>
      <w:jc w:val="center"/>
    </w:pPr>
    <w:rPr>
      <w:i/>
      <w:iCs/>
      <w:color w:val="404040" w:themeColor="text1" w:themeTint="BF"/>
    </w:rPr>
  </w:style>
  <w:style w:type="character" w:customStyle="1" w:styleId="QuoteChar">
    <w:name w:val="Quote Char"/>
    <w:basedOn w:val="DefaultParagraphFont"/>
    <w:link w:val="Quote"/>
    <w:uiPriority w:val="29"/>
    <w:rsid w:val="00BE2DBE"/>
    <w:rPr>
      <w:i/>
      <w:iCs/>
      <w:color w:val="404040" w:themeColor="text1" w:themeTint="BF"/>
    </w:rPr>
  </w:style>
  <w:style w:type="paragraph" w:styleId="ListParagraph">
    <w:name w:val="List Paragraph"/>
    <w:basedOn w:val="Normal"/>
    <w:uiPriority w:val="34"/>
    <w:qFormat/>
    <w:rsid w:val="00BE2DBE"/>
    <w:pPr>
      <w:ind w:left="720"/>
      <w:contextualSpacing/>
    </w:pPr>
  </w:style>
  <w:style w:type="character" w:styleId="IntenseEmphasis">
    <w:name w:val="Intense Emphasis"/>
    <w:basedOn w:val="DefaultParagraphFont"/>
    <w:uiPriority w:val="21"/>
    <w:qFormat/>
    <w:rsid w:val="00BE2DBE"/>
    <w:rPr>
      <w:i/>
      <w:iCs/>
      <w:color w:val="0F4761" w:themeColor="accent1" w:themeShade="BF"/>
    </w:rPr>
  </w:style>
  <w:style w:type="paragraph" w:styleId="IntenseQuote">
    <w:name w:val="Intense Quote"/>
    <w:basedOn w:val="Normal"/>
    <w:next w:val="Normal"/>
    <w:link w:val="IntenseQuoteChar"/>
    <w:uiPriority w:val="30"/>
    <w:qFormat/>
    <w:rsid w:val="00BE2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DBE"/>
    <w:rPr>
      <w:i/>
      <w:iCs/>
      <w:color w:val="0F4761" w:themeColor="accent1" w:themeShade="BF"/>
    </w:rPr>
  </w:style>
  <w:style w:type="character" w:styleId="IntenseReference">
    <w:name w:val="Intense Reference"/>
    <w:basedOn w:val="DefaultParagraphFont"/>
    <w:uiPriority w:val="32"/>
    <w:qFormat/>
    <w:rsid w:val="00BE2DBE"/>
    <w:rPr>
      <w:b/>
      <w:bCs/>
      <w:smallCaps/>
      <w:color w:val="0F4761" w:themeColor="accent1" w:themeShade="BF"/>
      <w:spacing w:val="5"/>
    </w:rPr>
  </w:style>
  <w:style w:type="paragraph" w:styleId="Header">
    <w:name w:val="header"/>
    <w:basedOn w:val="Normal"/>
    <w:link w:val="HeaderChar"/>
    <w:uiPriority w:val="99"/>
    <w:unhideWhenUsed/>
    <w:rsid w:val="002C6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1D4"/>
  </w:style>
  <w:style w:type="paragraph" w:styleId="Footer">
    <w:name w:val="footer"/>
    <w:basedOn w:val="Normal"/>
    <w:link w:val="FooterChar"/>
    <w:uiPriority w:val="99"/>
    <w:unhideWhenUsed/>
    <w:rsid w:val="002C6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1D4"/>
  </w:style>
  <w:style w:type="character" w:styleId="PageNumber">
    <w:name w:val="page number"/>
    <w:basedOn w:val="DefaultParagraphFont"/>
    <w:uiPriority w:val="99"/>
    <w:semiHidden/>
    <w:unhideWhenUsed/>
    <w:rsid w:val="00712882"/>
  </w:style>
  <w:style w:type="character" w:styleId="Strong">
    <w:name w:val="Strong"/>
    <w:basedOn w:val="DefaultParagraphFont"/>
    <w:uiPriority w:val="22"/>
    <w:qFormat/>
    <w:rsid w:val="000504DF"/>
    <w:rPr>
      <w:b/>
      <w:bCs/>
    </w:rPr>
  </w:style>
  <w:style w:type="table" w:styleId="TableGrid">
    <w:name w:val="Table Grid"/>
    <w:basedOn w:val="TableNormal"/>
    <w:uiPriority w:val="39"/>
    <w:rsid w:val="0064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212731">
      <w:bodyDiv w:val="1"/>
      <w:marLeft w:val="0"/>
      <w:marRight w:val="0"/>
      <w:marTop w:val="0"/>
      <w:marBottom w:val="0"/>
      <w:divBdr>
        <w:top w:val="none" w:sz="0" w:space="0" w:color="auto"/>
        <w:left w:val="none" w:sz="0" w:space="0" w:color="auto"/>
        <w:bottom w:val="none" w:sz="0" w:space="0" w:color="auto"/>
        <w:right w:val="none" w:sz="0" w:space="0" w:color="auto"/>
      </w:divBdr>
    </w:div>
    <w:div w:id="1374766902">
      <w:bodyDiv w:val="1"/>
      <w:marLeft w:val="0"/>
      <w:marRight w:val="0"/>
      <w:marTop w:val="0"/>
      <w:marBottom w:val="0"/>
      <w:divBdr>
        <w:top w:val="none" w:sz="0" w:space="0" w:color="auto"/>
        <w:left w:val="none" w:sz="0" w:space="0" w:color="auto"/>
        <w:bottom w:val="none" w:sz="0" w:space="0" w:color="auto"/>
        <w:right w:val="none" w:sz="0" w:space="0" w:color="auto"/>
      </w:divBdr>
    </w:div>
    <w:div w:id="1640497980">
      <w:bodyDiv w:val="1"/>
      <w:marLeft w:val="0"/>
      <w:marRight w:val="0"/>
      <w:marTop w:val="0"/>
      <w:marBottom w:val="0"/>
      <w:divBdr>
        <w:top w:val="none" w:sz="0" w:space="0" w:color="auto"/>
        <w:left w:val="none" w:sz="0" w:space="0" w:color="auto"/>
        <w:bottom w:val="none" w:sz="0" w:space="0" w:color="auto"/>
        <w:right w:val="none" w:sz="0" w:space="0" w:color="auto"/>
      </w:divBdr>
    </w:div>
    <w:div w:id="1831556126">
      <w:bodyDiv w:val="1"/>
      <w:marLeft w:val="0"/>
      <w:marRight w:val="0"/>
      <w:marTop w:val="0"/>
      <w:marBottom w:val="0"/>
      <w:divBdr>
        <w:top w:val="none" w:sz="0" w:space="0" w:color="auto"/>
        <w:left w:val="none" w:sz="0" w:space="0" w:color="auto"/>
        <w:bottom w:val="none" w:sz="0" w:space="0" w:color="auto"/>
        <w:right w:val="none" w:sz="0" w:space="0" w:color="auto"/>
      </w:divBdr>
    </w:div>
    <w:div w:id="1851985091">
      <w:bodyDiv w:val="1"/>
      <w:marLeft w:val="0"/>
      <w:marRight w:val="0"/>
      <w:marTop w:val="0"/>
      <w:marBottom w:val="0"/>
      <w:divBdr>
        <w:top w:val="none" w:sz="0" w:space="0" w:color="auto"/>
        <w:left w:val="none" w:sz="0" w:space="0" w:color="auto"/>
        <w:bottom w:val="none" w:sz="0" w:space="0" w:color="auto"/>
        <w:right w:val="none" w:sz="0" w:space="0" w:color="auto"/>
      </w:divBdr>
    </w:div>
    <w:div w:id="1868178646">
      <w:bodyDiv w:val="1"/>
      <w:marLeft w:val="0"/>
      <w:marRight w:val="0"/>
      <w:marTop w:val="0"/>
      <w:marBottom w:val="0"/>
      <w:divBdr>
        <w:top w:val="none" w:sz="0" w:space="0" w:color="auto"/>
        <w:left w:val="none" w:sz="0" w:space="0" w:color="auto"/>
        <w:bottom w:val="none" w:sz="0" w:space="0" w:color="auto"/>
        <w:right w:val="none" w:sz="0" w:space="0" w:color="auto"/>
      </w:divBdr>
    </w:div>
    <w:div w:id="1920753223">
      <w:bodyDiv w:val="1"/>
      <w:marLeft w:val="0"/>
      <w:marRight w:val="0"/>
      <w:marTop w:val="0"/>
      <w:marBottom w:val="0"/>
      <w:divBdr>
        <w:top w:val="none" w:sz="0" w:space="0" w:color="auto"/>
        <w:left w:val="none" w:sz="0" w:space="0" w:color="auto"/>
        <w:bottom w:val="none" w:sz="0" w:space="0" w:color="auto"/>
        <w:right w:val="none" w:sz="0" w:space="0" w:color="auto"/>
      </w:divBdr>
      <w:divsChild>
        <w:div w:id="82119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29B0-0397-2043-8143-07A07A1B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Jooahn</dc:creator>
  <cp:keywords/>
  <dc:description/>
  <cp:lastModifiedBy>Park, Jooahn</cp:lastModifiedBy>
  <cp:revision>2</cp:revision>
  <cp:lastPrinted>2025-05-14T21:01:00Z</cp:lastPrinted>
  <dcterms:created xsi:type="dcterms:W3CDTF">2025-05-14T21:04:00Z</dcterms:created>
  <dcterms:modified xsi:type="dcterms:W3CDTF">2025-05-14T21:04:00Z</dcterms:modified>
</cp:coreProperties>
</file>