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84A4" w14:textId="77777777" w:rsidR="008478D9" w:rsidRPr="008478D9" w:rsidRDefault="008478D9" w:rsidP="008478D9">
      <w:pPr>
        <w:rPr>
          <w:b/>
          <w:bCs/>
        </w:rPr>
      </w:pPr>
      <w:r w:rsidRPr="008478D9">
        <w:rPr>
          <w:b/>
          <w:bCs/>
        </w:rPr>
        <w:t>Data Description: Equity Factor Returns</w:t>
      </w:r>
    </w:p>
    <w:p w14:paraId="78274F35" w14:textId="77777777" w:rsidR="008478D9" w:rsidRPr="008478D9" w:rsidRDefault="008478D9" w:rsidP="008478D9">
      <w:r w:rsidRPr="008478D9">
        <w:rPr>
          <w:b/>
          <w:bCs/>
        </w:rPr>
        <w:t>Source:</w:t>
      </w:r>
      <w:r w:rsidRPr="008478D9">
        <w:t> Kenneth R. French Data Library &amp; AQR Capital Management</w:t>
      </w:r>
      <w:r w:rsidRPr="008478D9">
        <w:br/>
      </w:r>
      <w:r w:rsidRPr="008478D9">
        <w:rPr>
          <w:b/>
          <w:bCs/>
        </w:rPr>
        <w:t>Frequency:</w:t>
      </w:r>
      <w:r w:rsidRPr="008478D9">
        <w:t> Monthly</w:t>
      </w:r>
      <w:r w:rsidRPr="008478D9">
        <w:br/>
      </w:r>
      <w:r w:rsidRPr="008478D9">
        <w:rPr>
          <w:b/>
          <w:bCs/>
        </w:rPr>
        <w:t>Sample Period:</w:t>
      </w:r>
      <w:r w:rsidRPr="008478D9">
        <w:t> January 2000 - Present</w:t>
      </w:r>
    </w:p>
    <w:p w14:paraId="171696F9" w14:textId="77777777" w:rsidR="008478D9" w:rsidRPr="008478D9" w:rsidRDefault="008478D9" w:rsidP="008478D9">
      <w:r w:rsidRPr="008478D9">
        <w:t>This study employs a set of six equity style factors, constructed to capture the core risk premia outlined in the base paper, DiCiurcio et al. (2023). While the original paper uses proprietary factor constructions based on the Russell 1000/3000 universes, this replication utilizes widely accepted, publicly available academic factor series to ensure transparency, reproducibility, and alignment with established financial literature.</w:t>
      </w:r>
    </w:p>
    <w:p w14:paraId="58AA8587" w14:textId="77777777" w:rsidR="008478D9" w:rsidRPr="008478D9" w:rsidRDefault="008478D9" w:rsidP="008478D9">
      <w:r w:rsidRPr="008478D9">
        <w:t>The following six factors are used in the two-stage machine learning framework:</w:t>
      </w:r>
    </w:p>
    <w:p w14:paraId="20D1794A" w14:textId="77777777" w:rsidR="008478D9" w:rsidRPr="008478D9" w:rsidRDefault="008478D9" w:rsidP="008478D9">
      <w:pPr>
        <w:numPr>
          <w:ilvl w:val="0"/>
          <w:numId w:val="1"/>
        </w:numPr>
      </w:pPr>
      <w:r w:rsidRPr="008478D9">
        <w:rPr>
          <w:b/>
          <w:bCs/>
        </w:rPr>
        <w:t>Value (HML):</w:t>
      </w:r>
      <w:r w:rsidRPr="008478D9">
        <w:t> The "High Minus Low" factor from the Fama-French 5-factor model. It represents the return differential between stocks with high and low book-to-market ratios. This directly corresponds to the paper's "Value" factor, which is defined as holding low price-to-book stocks.</w:t>
      </w:r>
    </w:p>
    <w:p w14:paraId="1F26DF48" w14:textId="77777777" w:rsidR="008478D9" w:rsidRPr="008478D9" w:rsidRDefault="008478D9" w:rsidP="008478D9">
      <w:pPr>
        <w:numPr>
          <w:ilvl w:val="0"/>
          <w:numId w:val="1"/>
        </w:numPr>
      </w:pPr>
      <w:r w:rsidRPr="008478D9">
        <w:rPr>
          <w:b/>
          <w:bCs/>
        </w:rPr>
        <w:t xml:space="preserve">Growth (SMALL </w:t>
      </w:r>
      <w:proofErr w:type="spellStart"/>
      <w:r w:rsidRPr="008478D9">
        <w:rPr>
          <w:b/>
          <w:bCs/>
        </w:rPr>
        <w:t>LoBM</w:t>
      </w:r>
      <w:proofErr w:type="spellEnd"/>
      <w:r w:rsidRPr="008478D9">
        <w:rPr>
          <w:b/>
          <w:bCs/>
        </w:rPr>
        <w:t>):</w:t>
      </w:r>
      <w:r w:rsidRPr="008478D9">
        <w:t> The return of the "Small Low Book-to-Market" portfolio. This portfolio consists of small-capitalization stocks with low book-to-market ratios, a classic proxy for "Growth" stocks. This provides a pure long exposure to the growth style, serving as a direct counterpart to the Value (HML) factor.</w:t>
      </w:r>
    </w:p>
    <w:p w14:paraId="31508701" w14:textId="77777777" w:rsidR="008478D9" w:rsidRPr="008478D9" w:rsidRDefault="008478D9" w:rsidP="008478D9">
      <w:pPr>
        <w:numPr>
          <w:ilvl w:val="0"/>
          <w:numId w:val="1"/>
        </w:numPr>
      </w:pPr>
      <w:r w:rsidRPr="008478D9">
        <w:rPr>
          <w:b/>
          <w:bCs/>
        </w:rPr>
        <w:t>Momentum (MOM):</w:t>
      </w:r>
      <w:r w:rsidRPr="008478D9">
        <w:t xml:space="preserve"> The momentum factor from the French data library. This factor goes long </w:t>
      </w:r>
      <w:proofErr w:type="gramStart"/>
      <w:r w:rsidRPr="008478D9">
        <w:t>in</w:t>
      </w:r>
      <w:proofErr w:type="gramEnd"/>
      <w:r w:rsidRPr="008478D9">
        <w:t xml:space="preserve"> stocks with high prior (2-12 month) returns and </w:t>
      </w:r>
      <w:proofErr w:type="gramStart"/>
      <w:r w:rsidRPr="008478D9">
        <w:t>short in stocks</w:t>
      </w:r>
      <w:proofErr w:type="gramEnd"/>
      <w:r w:rsidRPr="008478D9">
        <w:t xml:space="preserve"> with low prior returns. This construction is identical in spirit to the paper's definition of stocks with the highest 12-month trailing returns.</w:t>
      </w:r>
    </w:p>
    <w:p w14:paraId="7957ED87" w14:textId="77777777" w:rsidR="008478D9" w:rsidRPr="008478D9" w:rsidRDefault="008478D9" w:rsidP="008478D9">
      <w:pPr>
        <w:numPr>
          <w:ilvl w:val="0"/>
          <w:numId w:val="1"/>
        </w:numPr>
      </w:pPr>
      <w:r w:rsidRPr="008478D9">
        <w:rPr>
          <w:b/>
          <w:bCs/>
        </w:rPr>
        <w:t>Quality (RMW):</w:t>
      </w:r>
      <w:r w:rsidRPr="008478D9">
        <w:t> The "Robust Minus Weak" factor from the Fama-French 5-factor model. It represents the return differential between stocks with robust and weak operating profitability. Profitability is a central pillar of the "Quality" factor, which the paper defines using a high-quality score based on financial stability and profitability.</w:t>
      </w:r>
    </w:p>
    <w:p w14:paraId="3D404EC7" w14:textId="77777777" w:rsidR="008478D9" w:rsidRPr="008478D9" w:rsidRDefault="008478D9" w:rsidP="008478D9">
      <w:pPr>
        <w:numPr>
          <w:ilvl w:val="0"/>
          <w:numId w:val="1"/>
        </w:numPr>
      </w:pPr>
      <w:r w:rsidRPr="008478D9">
        <w:rPr>
          <w:b/>
          <w:bCs/>
        </w:rPr>
        <w:t>Small Cap (SMB):</w:t>
      </w:r>
      <w:r w:rsidRPr="008478D9">
        <w:t> The "Small Minus Big" factor from the Fama-French 5-factor model. It captures the return premium associated with small market capitalization companies versus large ones. This is a direct match for the paper's "Small-Cap" factor.</w:t>
      </w:r>
    </w:p>
    <w:p w14:paraId="671AF026" w14:textId="77777777" w:rsidR="008478D9" w:rsidRPr="008478D9" w:rsidRDefault="008478D9" w:rsidP="008478D9">
      <w:pPr>
        <w:numPr>
          <w:ilvl w:val="0"/>
          <w:numId w:val="1"/>
        </w:numPr>
      </w:pPr>
      <w:r w:rsidRPr="008478D9">
        <w:rPr>
          <w:b/>
          <w:bCs/>
        </w:rPr>
        <w:t>Low Volatility (Low_20):</w:t>
      </w:r>
      <w:r w:rsidRPr="008478D9">
        <w:t> This factor is constructed as the return of the low volatility portfolio from the French data library. </w:t>
      </w:r>
      <w:r w:rsidRPr="008478D9">
        <w:rPr>
          <w:b/>
          <w:bCs/>
        </w:rPr>
        <w:t xml:space="preserve">The portfolios are formed </w:t>
      </w:r>
      <w:r w:rsidRPr="008478D9">
        <w:rPr>
          <w:b/>
          <w:bCs/>
        </w:rPr>
        <w:lastRenderedPageBreak/>
        <w:t xml:space="preserve">monthly on the variance of daily returns (Var) using NYSE breakpoints, where Var is estimated </w:t>
      </w:r>
      <w:proofErr w:type="gramStart"/>
      <w:r w:rsidRPr="008478D9">
        <w:rPr>
          <w:b/>
          <w:bCs/>
        </w:rPr>
        <w:t>using</w:t>
      </w:r>
      <w:proofErr w:type="gramEnd"/>
      <w:r w:rsidRPr="008478D9">
        <w:rPr>
          <w:b/>
          <w:bCs/>
        </w:rPr>
        <w:t xml:space="preserve"> 60 days (minimum 20) of lagged returns.</w:t>
      </w:r>
      <w:r w:rsidRPr="008478D9">
        <w:t> This portfolio goes long in stocks with the lowest return variance. This captures the same defensive, low-risk characteristic as the paper's "Low Volatility" factor, which is defined as stocks with the lowest annualized return volatility.</w:t>
      </w:r>
    </w:p>
    <w:p w14:paraId="0F7BC311" w14:textId="77777777" w:rsidR="008478D9" w:rsidRPr="008478D9" w:rsidRDefault="008478D9" w:rsidP="008478D9">
      <w:r w:rsidRPr="008478D9">
        <w:rPr>
          <w:b/>
          <w:bCs/>
        </w:rPr>
        <w:t>Rationale for Factor Substitutions:</w:t>
      </w:r>
      <w:r w:rsidRPr="008478D9">
        <w:br/>
        <w:t>The use of these alternative data sources is motivated by two primary constraints:</w:t>
      </w:r>
    </w:p>
    <w:p w14:paraId="19F70DD0" w14:textId="77777777" w:rsidR="008478D9" w:rsidRPr="008478D9" w:rsidRDefault="008478D9" w:rsidP="008478D9">
      <w:pPr>
        <w:numPr>
          <w:ilvl w:val="0"/>
          <w:numId w:val="2"/>
        </w:numPr>
      </w:pPr>
      <w:r w:rsidRPr="008478D9">
        <w:rPr>
          <w:b/>
          <w:bCs/>
        </w:rPr>
        <w:t>Data Accessibility:</w:t>
      </w:r>
      <w:r w:rsidRPr="008478D9">
        <w:t> The proprietary Russell index constituent data and the specific quality score calculation methodology used in the base paper are not readily available.</w:t>
      </w:r>
    </w:p>
    <w:p w14:paraId="35D9A59A" w14:textId="77777777" w:rsidR="008478D9" w:rsidRPr="008478D9" w:rsidRDefault="008478D9" w:rsidP="008478D9">
      <w:pPr>
        <w:numPr>
          <w:ilvl w:val="0"/>
          <w:numId w:val="2"/>
        </w:numPr>
      </w:pPr>
      <w:r w:rsidRPr="008478D9">
        <w:rPr>
          <w:b/>
          <w:bCs/>
        </w:rPr>
        <w:t>Academic Convention:</w:t>
      </w:r>
      <w:r w:rsidRPr="008478D9">
        <w:t xml:space="preserve"> The chosen proxies (HML, RMW, SMB, MOM) are the industry and academic standard benchmarks for these risk </w:t>
      </w:r>
      <w:proofErr w:type="gramStart"/>
      <w:r w:rsidRPr="008478D9">
        <w:t>premia</w:t>
      </w:r>
      <w:proofErr w:type="gramEnd"/>
      <w:r w:rsidRPr="008478D9">
        <w:t>. Their use enhances the comparability and credibility of our results within the broader finance literature. Despite differences in construction details (e.g., the exact stock universe or sorting variable), these factors are designed to capture the same underlying economic phenomena, making them highly suitable for testing the core hypothesis regarding regime-based factor timing.</w:t>
      </w:r>
    </w:p>
    <w:p w14:paraId="30BBE16B" w14:textId="77777777" w:rsidR="00011BAD" w:rsidRPr="008478D9" w:rsidRDefault="00011BAD"/>
    <w:sectPr w:rsidR="00011BAD" w:rsidRPr="008478D9">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718"/>
    <w:multiLevelType w:val="multilevel"/>
    <w:tmpl w:val="34C8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4D3874"/>
    <w:multiLevelType w:val="multilevel"/>
    <w:tmpl w:val="048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591606">
    <w:abstractNumId w:val="0"/>
  </w:num>
  <w:num w:numId="2" w16cid:durableId="1702822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34"/>
    <w:rsid w:val="00011BAD"/>
    <w:rsid w:val="00032270"/>
    <w:rsid w:val="00041F00"/>
    <w:rsid w:val="000D3F2E"/>
    <w:rsid w:val="008478D9"/>
    <w:rsid w:val="00C31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C725"/>
  <w15:chartTrackingRefBased/>
  <w15:docId w15:val="{B77AF6E7-8364-4E6C-82BC-30D53C801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314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314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314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3143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3143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3143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3143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3143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3143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43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3143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3143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3143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3143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3143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31434"/>
    <w:rPr>
      <w:rFonts w:cstheme="majorBidi"/>
      <w:b/>
      <w:bCs/>
      <w:color w:val="595959" w:themeColor="text1" w:themeTint="A6"/>
    </w:rPr>
  </w:style>
  <w:style w:type="character" w:customStyle="1" w:styleId="Heading8Char">
    <w:name w:val="Heading 8 Char"/>
    <w:basedOn w:val="DefaultParagraphFont"/>
    <w:link w:val="Heading8"/>
    <w:uiPriority w:val="9"/>
    <w:semiHidden/>
    <w:rsid w:val="00C31434"/>
    <w:rPr>
      <w:rFonts w:cstheme="majorBidi"/>
      <w:color w:val="595959" w:themeColor="text1" w:themeTint="A6"/>
    </w:rPr>
  </w:style>
  <w:style w:type="character" w:customStyle="1" w:styleId="Heading9Char">
    <w:name w:val="Heading 9 Char"/>
    <w:basedOn w:val="DefaultParagraphFont"/>
    <w:link w:val="Heading9"/>
    <w:uiPriority w:val="9"/>
    <w:semiHidden/>
    <w:rsid w:val="00C31434"/>
    <w:rPr>
      <w:rFonts w:eastAsiaTheme="majorEastAsia" w:cstheme="majorBidi"/>
      <w:color w:val="595959" w:themeColor="text1" w:themeTint="A6"/>
    </w:rPr>
  </w:style>
  <w:style w:type="paragraph" w:styleId="Title">
    <w:name w:val="Title"/>
    <w:basedOn w:val="Normal"/>
    <w:next w:val="Normal"/>
    <w:link w:val="TitleChar"/>
    <w:uiPriority w:val="10"/>
    <w:qFormat/>
    <w:rsid w:val="00C314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4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3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31434"/>
    <w:pPr>
      <w:spacing w:before="160"/>
      <w:jc w:val="center"/>
    </w:pPr>
    <w:rPr>
      <w:i/>
      <w:iCs/>
      <w:color w:val="404040" w:themeColor="text1" w:themeTint="BF"/>
    </w:rPr>
  </w:style>
  <w:style w:type="character" w:customStyle="1" w:styleId="QuoteChar">
    <w:name w:val="Quote Char"/>
    <w:basedOn w:val="DefaultParagraphFont"/>
    <w:link w:val="Quote"/>
    <w:uiPriority w:val="29"/>
    <w:rsid w:val="00C31434"/>
    <w:rPr>
      <w:i/>
      <w:iCs/>
      <w:color w:val="404040" w:themeColor="text1" w:themeTint="BF"/>
    </w:rPr>
  </w:style>
  <w:style w:type="paragraph" w:styleId="ListParagraph">
    <w:name w:val="List Paragraph"/>
    <w:basedOn w:val="Normal"/>
    <w:uiPriority w:val="34"/>
    <w:qFormat/>
    <w:rsid w:val="00C31434"/>
    <w:pPr>
      <w:ind w:left="720"/>
      <w:contextualSpacing/>
    </w:pPr>
  </w:style>
  <w:style w:type="character" w:styleId="IntenseEmphasis">
    <w:name w:val="Intense Emphasis"/>
    <w:basedOn w:val="DefaultParagraphFont"/>
    <w:uiPriority w:val="21"/>
    <w:qFormat/>
    <w:rsid w:val="00C31434"/>
    <w:rPr>
      <w:i/>
      <w:iCs/>
      <w:color w:val="0F4761" w:themeColor="accent1" w:themeShade="BF"/>
    </w:rPr>
  </w:style>
  <w:style w:type="paragraph" w:styleId="IntenseQuote">
    <w:name w:val="Intense Quote"/>
    <w:basedOn w:val="Normal"/>
    <w:next w:val="Normal"/>
    <w:link w:val="IntenseQuoteChar"/>
    <w:uiPriority w:val="30"/>
    <w:qFormat/>
    <w:rsid w:val="00C31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434"/>
    <w:rPr>
      <w:i/>
      <w:iCs/>
      <w:color w:val="0F4761" w:themeColor="accent1" w:themeShade="BF"/>
    </w:rPr>
  </w:style>
  <w:style w:type="character" w:styleId="IntenseReference">
    <w:name w:val="Intense Reference"/>
    <w:basedOn w:val="DefaultParagraphFont"/>
    <w:uiPriority w:val="32"/>
    <w:qFormat/>
    <w:rsid w:val="00C31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Kexin Tan</dc:creator>
  <cp:keywords/>
  <dc:description/>
  <cp:lastModifiedBy>Kexin Tan</cp:lastModifiedBy>
  <cp:revision>2</cp:revision>
  <dcterms:created xsi:type="dcterms:W3CDTF">2025-11-07T04:49:00Z</dcterms:created>
  <dcterms:modified xsi:type="dcterms:W3CDTF">2025-11-07T04:50:00Z</dcterms:modified>
</cp:coreProperties>
</file>