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Devis Option 2 – Full Développement + App native</w:t>
      </w:r>
    </w:p>
    <w:p>
      <w:pPr>
        <w:pStyle w:val="Heading1"/>
      </w:pPr>
      <w:r>
        <w:t>Développement plateforme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Produit / Service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Prix EUR</w:t>
            </w:r>
          </w:p>
        </w:tc>
        <w:tc>
          <w:tcPr>
            <w:tcW w:type="dxa" w:w="2160"/>
          </w:tcPr>
          <w:p>
            <w:r>
              <w:t>Prix FCFA</w:t>
            </w:r>
          </w:p>
        </w:tc>
      </w:tr>
      <w:tr>
        <w:tc>
          <w:tcPr>
            <w:tcW w:type="dxa" w:w="2160"/>
          </w:tcPr>
          <w:p>
            <w:r>
              <w:t>APP-NAT</w:t>
            </w:r>
          </w:p>
        </w:tc>
        <w:tc>
          <w:tcPr>
            <w:tcW w:type="dxa" w:w="2160"/>
          </w:tcPr>
          <w:p>
            <w:r>
              <w:t>App mobile native Flutter/React Native</w:t>
            </w:r>
          </w:p>
        </w:tc>
        <w:tc>
          <w:tcPr>
            <w:tcW w:type="dxa" w:w="2160"/>
          </w:tcPr>
          <w:p>
            <w:r>
              <w:t>3500 €</w:t>
            </w:r>
          </w:p>
        </w:tc>
        <w:tc>
          <w:tcPr>
            <w:tcW w:type="dxa" w:w="2160"/>
          </w:tcPr>
          <w:p>
            <w:r>
              <w:t>2 295 000 FCFA</w:t>
            </w:r>
          </w:p>
        </w:tc>
      </w:tr>
      <w:tr>
        <w:tc>
          <w:tcPr>
            <w:tcW w:type="dxa" w:w="2160"/>
          </w:tcPr>
          <w:p>
            <w:r>
              <w:t>DES-JH</w:t>
            </w:r>
          </w:p>
        </w:tc>
        <w:tc>
          <w:tcPr>
            <w:tcW w:type="dxa" w:w="2160"/>
          </w:tcPr>
          <w:p>
            <w:r>
              <w:t>Design UI/UX (4 jours)</w:t>
            </w:r>
          </w:p>
        </w:tc>
        <w:tc>
          <w:tcPr>
            <w:tcW w:type="dxa" w:w="2160"/>
          </w:tcPr>
          <w:p>
            <w:r>
              <w:t>1000 €</w:t>
            </w:r>
          </w:p>
        </w:tc>
        <w:tc>
          <w:tcPr>
            <w:tcW w:type="dxa" w:w="2160"/>
          </w:tcPr>
          <w:p>
            <w:r>
              <w:t>655 000 FCFA</w:t>
            </w:r>
          </w:p>
        </w:tc>
      </w:tr>
      <w:tr>
        <w:tc>
          <w:tcPr>
            <w:tcW w:type="dxa" w:w="2160"/>
          </w:tcPr>
          <w:p>
            <w:r>
              <w:t>DEV-JH</w:t>
            </w:r>
          </w:p>
        </w:tc>
        <w:tc>
          <w:tcPr>
            <w:tcW w:type="dxa" w:w="2160"/>
          </w:tcPr>
          <w:p>
            <w:r>
              <w:t>Développement backend/frontend (10 jours)</w:t>
            </w:r>
          </w:p>
        </w:tc>
        <w:tc>
          <w:tcPr>
            <w:tcW w:type="dxa" w:w="2160"/>
          </w:tcPr>
          <w:p>
            <w:r>
              <w:t>3000 €</w:t>
            </w:r>
          </w:p>
        </w:tc>
        <w:tc>
          <w:tcPr>
            <w:tcW w:type="dxa" w:w="2160"/>
          </w:tcPr>
          <w:p>
            <w:r>
              <w:t>1 970 000 FCFA</w:t>
            </w:r>
          </w:p>
        </w:tc>
      </w:tr>
    </w:tbl>
    <w:p/>
    <w:p>
      <w:pPr>
        <w:pStyle w:val="Heading1"/>
      </w:pPr>
      <w:r>
        <w:t>Modules fonctionnels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Produit / Service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Prix EUR</w:t>
            </w:r>
          </w:p>
        </w:tc>
        <w:tc>
          <w:tcPr>
            <w:tcW w:type="dxa" w:w="2160"/>
          </w:tcPr>
          <w:p>
            <w:r>
              <w:t>Prix FCFA</w:t>
            </w:r>
          </w:p>
        </w:tc>
      </w:tr>
      <w:tr>
        <w:tc>
          <w:tcPr>
            <w:tcW w:type="dxa" w:w="2160"/>
          </w:tcPr>
          <w:p>
            <w:r>
              <w:t>MOD-CON</w:t>
            </w:r>
          </w:p>
        </w:tc>
        <w:tc>
          <w:tcPr>
            <w:tcW w:type="dxa" w:w="2160"/>
          </w:tcPr>
          <w:p>
            <w:r>
              <w:t>Contrats &amp; e-signature</w:t>
            </w:r>
          </w:p>
        </w:tc>
        <w:tc>
          <w:tcPr>
            <w:tcW w:type="dxa" w:w="2160"/>
          </w:tcPr>
          <w:p>
            <w:r>
              <w:t>1000 €</w:t>
            </w:r>
          </w:p>
        </w:tc>
        <w:tc>
          <w:tcPr>
            <w:tcW w:type="dxa" w:w="2160"/>
          </w:tcPr>
          <w:p>
            <w:r>
              <w:t>655 000 FCFA</w:t>
            </w:r>
          </w:p>
        </w:tc>
      </w:tr>
      <w:tr>
        <w:tc>
          <w:tcPr>
            <w:tcW w:type="dxa" w:w="2160"/>
          </w:tcPr>
          <w:p>
            <w:r>
              <w:t>MOD-HRS</w:t>
            </w:r>
          </w:p>
        </w:tc>
        <w:tc>
          <w:tcPr>
            <w:tcW w:type="dxa" w:w="2160"/>
          </w:tcPr>
          <w:p>
            <w:r>
              <w:t>Gestion des heures &amp; présences</w:t>
            </w:r>
          </w:p>
        </w:tc>
        <w:tc>
          <w:tcPr>
            <w:tcW w:type="dxa" w:w="2160"/>
          </w:tcPr>
          <w:p>
            <w:r>
              <w:t>1200 €</w:t>
            </w:r>
          </w:p>
        </w:tc>
        <w:tc>
          <w:tcPr>
            <w:tcW w:type="dxa" w:w="2160"/>
          </w:tcPr>
          <w:p>
            <w:r>
              <w:t>787 000 FCFA</w:t>
            </w:r>
          </w:p>
        </w:tc>
      </w:tr>
      <w:tr>
        <w:tc>
          <w:tcPr>
            <w:tcW w:type="dxa" w:w="2160"/>
          </w:tcPr>
          <w:p>
            <w:r>
              <w:t>MOD-PAI</w:t>
            </w:r>
          </w:p>
        </w:tc>
        <w:tc>
          <w:tcPr>
            <w:tcW w:type="dxa" w:w="2160"/>
          </w:tcPr>
          <w:p>
            <w:r>
              <w:t>Paie &amp; facturation</w:t>
            </w:r>
          </w:p>
        </w:tc>
        <w:tc>
          <w:tcPr>
            <w:tcW w:type="dxa" w:w="2160"/>
          </w:tcPr>
          <w:p>
            <w:r>
              <w:t>1500 €</w:t>
            </w:r>
          </w:p>
        </w:tc>
        <w:tc>
          <w:tcPr>
            <w:tcW w:type="dxa" w:w="2160"/>
          </w:tcPr>
          <w:p>
            <w:r>
              <w:t>985 000 FCFA</w:t>
            </w:r>
          </w:p>
        </w:tc>
      </w:tr>
      <w:tr>
        <w:tc>
          <w:tcPr>
            <w:tcW w:type="dxa" w:w="2160"/>
          </w:tcPr>
          <w:p>
            <w:r>
              <w:t>MOD-REP</w:t>
            </w:r>
          </w:p>
        </w:tc>
        <w:tc>
          <w:tcPr>
            <w:tcW w:type="dxa" w:w="2160"/>
          </w:tcPr>
          <w:p>
            <w:r>
              <w:t>Reporting &amp; BI</w:t>
            </w:r>
          </w:p>
        </w:tc>
        <w:tc>
          <w:tcPr>
            <w:tcW w:type="dxa" w:w="2160"/>
          </w:tcPr>
          <w:p>
            <w:r>
              <w:t>1000 €</w:t>
            </w:r>
          </w:p>
        </w:tc>
        <w:tc>
          <w:tcPr>
            <w:tcW w:type="dxa" w:w="2160"/>
          </w:tcPr>
          <w:p>
            <w:r>
              <w:t>655 000 FCFA</w:t>
            </w:r>
          </w:p>
        </w:tc>
      </w:tr>
    </w:tbl>
    <w:p/>
    <w:p>
      <w:pPr>
        <w:pStyle w:val="Heading1"/>
      </w:pPr>
      <w:r>
        <w:t>Infrastructure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Produit / Service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Prix EUR</w:t>
            </w:r>
          </w:p>
        </w:tc>
        <w:tc>
          <w:tcPr>
            <w:tcW w:type="dxa" w:w="2160"/>
          </w:tcPr>
          <w:p>
            <w:r>
              <w:t>Prix FCFA</w:t>
            </w:r>
          </w:p>
        </w:tc>
      </w:tr>
      <w:tr>
        <w:tc>
          <w:tcPr>
            <w:tcW w:type="dxa" w:w="2160"/>
          </w:tcPr>
          <w:p>
            <w:r>
              <w:t>VPS-AN</w:t>
            </w:r>
          </w:p>
        </w:tc>
        <w:tc>
          <w:tcPr>
            <w:tcW w:type="dxa" w:w="2160"/>
          </w:tcPr>
          <w:p>
            <w:r>
              <w:t>Hébergement VPS annuel</w:t>
            </w:r>
          </w:p>
        </w:tc>
        <w:tc>
          <w:tcPr>
            <w:tcW w:type="dxa" w:w="2160"/>
          </w:tcPr>
          <w:p>
            <w:r>
              <w:t>900 €</w:t>
            </w:r>
          </w:p>
        </w:tc>
        <w:tc>
          <w:tcPr>
            <w:tcW w:type="dxa" w:w="2160"/>
          </w:tcPr>
          <w:p>
            <w:r>
              <w:t>590 000 FCFA</w:t>
            </w:r>
          </w:p>
        </w:tc>
      </w:tr>
      <w:tr>
        <w:tc>
          <w:tcPr>
            <w:tcW w:type="dxa" w:w="2160"/>
          </w:tcPr>
          <w:p>
            <w:r>
              <w:t>DOM-AN</w:t>
            </w:r>
          </w:p>
        </w:tc>
        <w:tc>
          <w:tcPr>
            <w:tcW w:type="dxa" w:w="2160"/>
          </w:tcPr>
          <w:p>
            <w:r>
              <w:t>Nom de domaine + DNS</w:t>
            </w:r>
          </w:p>
        </w:tc>
        <w:tc>
          <w:tcPr>
            <w:tcW w:type="dxa" w:w="2160"/>
          </w:tcPr>
          <w:p>
            <w:r>
              <w:t>50 €</w:t>
            </w:r>
          </w:p>
        </w:tc>
        <w:tc>
          <w:tcPr>
            <w:tcW w:type="dxa" w:w="2160"/>
          </w:tcPr>
          <w:p>
            <w:r>
              <w:t>33 000 FCFA</w:t>
            </w:r>
          </w:p>
        </w:tc>
      </w:tr>
    </w:tbl>
    <w:p/>
    <w:p>
      <w:pPr>
        <w:pStyle w:val="Heading1"/>
      </w:pPr>
      <w:r>
        <w:t>Accompagnement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Produit / Service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Prix EUR</w:t>
            </w:r>
          </w:p>
        </w:tc>
        <w:tc>
          <w:tcPr>
            <w:tcW w:type="dxa" w:w="2160"/>
          </w:tcPr>
          <w:p>
            <w:r>
              <w:t>Prix FCFA</w:t>
            </w:r>
          </w:p>
        </w:tc>
      </w:tr>
      <w:tr>
        <w:tc>
          <w:tcPr>
            <w:tcW w:type="dxa" w:w="2160"/>
          </w:tcPr>
          <w:p>
            <w:r>
              <w:t>PMO-JH</w:t>
            </w:r>
          </w:p>
        </w:tc>
        <w:tc>
          <w:tcPr>
            <w:tcW w:type="dxa" w:w="2160"/>
          </w:tcPr>
          <w:p>
            <w:r>
              <w:t>Gestion de projet (5 jours)</w:t>
            </w:r>
          </w:p>
        </w:tc>
        <w:tc>
          <w:tcPr>
            <w:tcW w:type="dxa" w:w="2160"/>
          </w:tcPr>
          <w:p>
            <w:r>
              <w:t>1400 €</w:t>
            </w:r>
          </w:p>
        </w:tc>
        <w:tc>
          <w:tcPr>
            <w:tcW w:type="dxa" w:w="2160"/>
          </w:tcPr>
          <w:p>
            <w:r>
              <w:t>918 000 FCFA</w:t>
            </w:r>
          </w:p>
        </w:tc>
      </w:tr>
      <w:tr>
        <w:tc>
          <w:tcPr>
            <w:tcW w:type="dxa" w:w="2160"/>
          </w:tcPr>
          <w:p>
            <w:r>
              <w:t>TST-JH</w:t>
            </w:r>
          </w:p>
        </w:tc>
        <w:tc>
          <w:tcPr>
            <w:tcW w:type="dxa" w:w="2160"/>
          </w:tcPr>
          <w:p>
            <w:r>
              <w:t>Tests &amp; QA (3 jours)</w:t>
            </w:r>
          </w:p>
        </w:tc>
        <w:tc>
          <w:tcPr>
            <w:tcW w:type="dxa" w:w="2160"/>
          </w:tcPr>
          <w:p>
            <w:r>
              <w:t>660 €</w:t>
            </w:r>
          </w:p>
        </w:tc>
        <w:tc>
          <w:tcPr>
            <w:tcW w:type="dxa" w:w="2160"/>
          </w:tcPr>
          <w:p>
            <w:r>
              <w:t>432 000 FCFA</w:t>
            </w:r>
          </w:p>
        </w:tc>
      </w:tr>
      <w:tr>
        <w:tc>
          <w:tcPr>
            <w:tcW w:type="dxa" w:w="2160"/>
          </w:tcPr>
          <w:p>
            <w:r>
              <w:t>TRN-S</w:t>
            </w:r>
          </w:p>
        </w:tc>
        <w:tc>
          <w:tcPr>
            <w:tcW w:type="dxa" w:w="2160"/>
          </w:tcPr>
          <w:p>
            <w:r>
              <w:t>Formation utilisateurs (1 session)</w:t>
            </w:r>
          </w:p>
        </w:tc>
        <w:tc>
          <w:tcPr>
            <w:tcW w:type="dxa" w:w="2160"/>
          </w:tcPr>
          <w:p>
            <w:r>
              <w:t>400 €</w:t>
            </w:r>
          </w:p>
        </w:tc>
        <w:tc>
          <w:tcPr>
            <w:tcW w:type="dxa" w:w="2160"/>
          </w:tcPr>
          <w:p>
            <w:r>
              <w:t>262 000 FCFA</w:t>
            </w:r>
          </w:p>
        </w:tc>
      </w:tr>
    </w:tbl>
    <w:p/>
    <w:p>
      <w:pPr>
        <w:pStyle w:val="Heading1"/>
      </w:pPr>
      <w:r>
        <w:t>Total</w:t>
      </w:r>
    </w:p>
    <w:p>
      <w:r>
        <w:t>11000 € TTC (~ 7 215 000 FCFA)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