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  <w:tblGridChange w:id="0">
          <w:tblGrid>
            <w:gridCol w:w="2160"/>
            <w:gridCol w:w="90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09 setembro 2026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Versão 1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Responsável pelo produto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Rafael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Para a equipe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Produto e design</w:t>
              <w:br/>
              <w:t>Engenharia e qualidade</w:t>
              <w:br/>
              <w:t>Operação Natureba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Planejamento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Sprints 15 a 22</w:t>
              <w:br/>
              <w:t>Critérios de aceite</w:t>
              <w:br/>
              <w:t>UX operacional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Situação</w:t>
            </w:r>
          </w:p>
          <w:p>
            <w:pPr>
              <w:spacing w:after="180"/>
            </w:pPr>
            <w:r>
              <w:rPr>
                <w:rFonts w:ascii="Arial" w:hAnsi="Arial"/>
                <w:b w:val="0"/>
                <w:sz w:val="18"/>
              </w:rPr>
              <w:t>Proposto para execução</w:t>
              <w:br/>
              <w:t>Gates ainda abertos</w:t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 w14:paraId="0000000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pStyle w:val="Title"/>
              <w:spacing w:after="280"/>
            </w:pPr>
            <w:r>
              <w:t>Plano de execução MiseOn</w:t>
            </w:r>
          </w:p>
          <w:p>
            <w:pPr>
              <w:widowControl/>
              <w:spacing w:after="120" w:line="264" w:lineRule="auto"/>
            </w:pPr>
            <w:r>
              <w:rPr>
                <w:rFonts w:ascii="Arial" w:hAnsi="Arial"/>
                <w:b w:val="0"/>
                <w:sz w:val="21"/>
              </w:rPr>
              <w:t>O primeiro resultado é substituir o atendimento atual da N de Natureba com montagem correta, pedidos íntegros, pagamentos conciliados e operação simples. A assinatura do MiseOn também precisa funcionar: cobrar, conceder acesso e entregar ao assinante uma nota fiscal válida com dados corretos.</w:t>
            </w:r>
          </w:p>
          <w:p>
            <w:pPr>
              <w:widowControl/>
              <w:spacing w:after="120" w:line="264" w:lineRule="auto"/>
            </w:pPr>
            <w:r>
              <w:rPr>
                <w:rFonts w:ascii="Arial" w:hAnsi="Arial"/>
                <w:b w:val="0"/>
                <w:sz w:val="21"/>
              </w:rPr>
              <w:t>Este documento organiza oito objetivos de sprint, a UX operacional e as provas de lançamento. É um plano de execução proposto. Datas, capacidade da equipe, equipamentos e algumas políticas comerciais ainda dependem de confirmação. Nenhum marco está certificado apenas pela existência de código.</w:t>
            </w:r>
          </w:p>
          <w:p>
            <w:pPr>
              <w:widowControl/>
              <w:spacing w:after="120" w:line="264" w:lineRule="auto"/>
            </w:pPr>
            <w:r>
              <w:rPr>
                <w:rFonts w:ascii="Arial" w:hAnsi="Arial"/>
                <w:b w:val="0"/>
                <w:sz w:val="21"/>
              </w:rPr>
              <w:t>A Natureba vende baguetes de 15 e 30 cm, marmitex, bebidas e salgados fritos/assados. Atende mesa com garçom, balcão, iFood, delivery próprio e retiradas de clientes e motoboys. Usa Anota.ai e pretende substituí-lo. Rodízio é expansão prioritária; Cast e Kiosk têm homologação própria.</w:t>
            </w:r>
          </w:p>
          <w:p>
            <w:pPr>
              <w:widowControl/>
              <w:spacing w:after="120" w:line="264" w:lineRule="auto"/>
            </w:pPr>
            <w:r>
              <w:rPr>
                <w:rFonts w:ascii="Arial" w:hAnsi="Arial"/>
                <w:b w:val="0"/>
                <w:sz w:val="21"/>
              </w:rPr>
              <w:t>Decisão de prioridade: assinatura e NFS-e; pagamento e iFood; integridade de estoque; montagem e workflows; virada Natureba; Cast; operação mista; Kiosk. Refinamento comercial, migração e descoberta de hardware começam antes de seus marcos finais.</w:t>
            </w:r>
          </w:p>
          <w:p>
            <w:pPr>
              <w:widowControl/>
              <w:spacing w:after="120" w:line="264" w:lineRule="auto"/>
            </w:pPr>
            <w:r>
              <w:rPr>
                <w:rFonts w:ascii="Arial" w:hAnsi="Arial"/>
                <w:b w:val="0"/>
                <w:sz w:val="21"/>
              </w:rPr>
              <w:t>Leitura da equipe: governança e UX primeiro; depois a ficha da sprint em execução. Os planos técnicos e comerciais no repositório detalham as evidências e o catálogo de capacidades. A Review deve demonstrar tarefas reais, inclusive falhas e recuperação.</w:t>
            </w:r>
          </w:p>
        </w:tc>
      </w:tr>
    </w:tbl>
    <w:p w14:paraId="00000012">
      <w:pPr>
        <w:spacing w:after="0" w:before="0" w:line="240" w:lineRule="auto"/>
        <w:rPr/>
      </w:pPr>
      <w:r>
        <w:rPr>
          <w:rtl w:val="0"/>
        </w:rPr>
      </w:r>
    </w:p>
    <w:p>
      <w:r>
        <w:br w:type="page"/>
      </w:r>
    </w:p>
    <w:p>
      <w:pPr>
        <w:pStyle w:val="Heading1"/>
        <w:keepNext/>
      </w:pPr>
      <w:r>
        <w:t>Governança e critérios de lançamento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Cadência proposta: uma semana por sprint. Os números 15 a 22 preservam a continuidade do histórico. Representam a ordem dos objetivos; um objetivo maior será fatiado em vários sprints e os seguintes renumerados. Não há compromisso de conclusão em oito semanas.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PO Rafael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Prioridade, política comercial, escopo contratado e aceite de negócio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Engenharia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Arquitetura, implementação, integridade, observabilidade e recuperação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UX e produto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Fluxos, linguagem, protótipo, consistência e testes de tarefa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Qualidade e revisor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Provar invariantes e regressões; revisar com evidência independente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Operador Natureba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Validar montagem, preparo, atendimento, expedição e fechamento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Bravus e provedores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Confirmar contrato técnico, hardware e homologação aplicável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Planning de 45 minutos; Daily de 15; refinamento de 30 no meio da semana; Review de 30; retrospectiva de 20. Cada história terá ID, dono nominal, tamanho após refinamento, dependências, PR, ambiente e evidência. Limite inicial: uma história principal em execução por pessoa. Planejar 70% da capacidade medida e reservar 30% para descoberta e incidentes do piloto; recalibrar semanalmente.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Pronta para começar:</w:t>
      </w:r>
      <w:r>
        <w:rPr>
          <w:rFonts w:ascii="Arial" w:hAnsi="Arial"/>
          <w:b w:val="0"/>
          <w:sz w:val="21"/>
        </w:rPr>
        <w:t xml:space="preserve"> problema e usuário claros, invariante declarada, cenário de aceite, dependência acessível e recorte que produz comportamento utilizável. </w:t>
      </w:r>
      <w:r>
        <w:rPr>
          <w:rFonts w:ascii="Arial" w:hAnsi="Arial"/>
          <w:b/>
          <w:sz w:val="21"/>
        </w:rPr>
        <w:t>Concluída:</w:t>
      </w:r>
      <w:r>
        <w:rPr>
          <w:rFonts w:ascii="Arial" w:hAnsi="Arial"/>
          <w:b w:val="0"/>
          <w:sz w:val="21"/>
        </w:rPr>
        <w:t xml:space="preserve"> implementação e revisão, testes aplicáveis, inspeção visual quando houver tela, migrations/functions verificadas em homologação, documentação e prova anexadas. PASS, FAIL, SKIPPED, BLOCKED e NOT RUN são estados distintos.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Marco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Condição de liberação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 Assinatura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Pagamento conciliado, acesso correto, nota autenticada e recebida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 Natureba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Canais contratados, iFood, montagem, caixa e virada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 Cast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Transmissão, sessão e recuperação no equipamento compatível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 Operação mista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Rodízio, quilo e avulsos corretos por participante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 Kiosk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Compra e falhas homologadas no equipamento Bravus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 Comercial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Toda promessa ligada a oferta, dependência e prova atual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P0 bloqueia o fluxo afetado por perda de pedido, dado, dinheiro ou acesso. P1 completa o marco contratado. Falhas críticas entram na prioridade sem reduzir a Definition of Done. A sprint entrega software; documentação e demo simulada não substituem a validação operacional.</w:t>
      </w:r>
    </w:p>
    <w:p>
      <w:r>
        <w:br w:type="page"/>
      </w:r>
    </w:p>
    <w:p>
      <w:pPr>
        <w:pStyle w:val="Heading1"/>
        <w:keepNext/>
      </w:pPr>
      <w:r>
        <w:t>UX operacional como requisito de produto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O operador precisa reconhecer o contexto, executar a próxima ação e perceber o resultado. O sistema mantém canal, cobrança, destino e estação separados; usa os dados disponíveis para evitar redigitação. A tela padrão mostra o trabalho daquele papel e turno.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Princípio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Aplicação observável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Contexto persistente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Mesa, comanda, pessoa, destino e rodada permanecem visíveis durante o lançamento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Personalização por item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Baguete 15/30 e duas bebidas com opções diferentes não se fundem indevidamente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Uma ação principal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Selecionar, enviar rodada, iniciar preparo, concluir ou entregar conforme estado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Erro recuperável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Informar item afetado e correção; preservar preenchimento; evitar toast genérico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Confirmação de execução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Exibir recebido/enviado/pendente de conexão; nunca sucesso apenas pelo clique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Informação legível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Modificadores obrigatórios destacados; cor acompanhada de texto; sem hover obrigatório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Configuração progressiva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Operador vê sua tarefa; gerente configura estações e regras em área própria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Metas propostas de design:</w:t>
      </w:r>
      <w:r>
        <w:rPr>
          <w:rFonts w:ascii="Arial" w:hAnsi="Arial"/>
          <w:b w:val="0"/>
          <w:sz w:val="21"/>
        </w:rPr>
        <w:t xml:space="preserve"> controles primários de toque com pelo menos 48 px; corpo legível em 375 px; foco visível e contraste conforme WCAG 2.2 AA; operação com teclado quando aplicável. KDS deve ser testado na distância real de leitura e no equipamento da cozinha. O tamanho de 48 px é meta do projeto, não o mínimo normativo da WCAG.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Orçamento inicial de interação:</w:t>
      </w:r>
      <w:r>
        <w:rPr>
          <w:rFonts w:ascii="Arial" w:hAnsi="Arial"/>
          <w:b w:val="0"/>
          <w:sz w:val="21"/>
        </w:rPr>
        <w:t xml:space="preserve"> produto favorito sem opções em até três ações a partir da comanda; produto configurável em até cinco, além das escolhas necessárias; iniciar ou concluir ticket em uma ação; confirmar retirada em até duas. Medir em teste de tarefa e ajustar, sem remover validações críticas para atingir números.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Estados obrigatórios:</w:t>
      </w:r>
      <w:r>
        <w:rPr>
          <w:rFonts w:ascii="Arial" w:hAnsi="Arial"/>
          <w:b w:val="0"/>
          <w:sz w:val="21"/>
        </w:rPr>
        <w:t xml:space="preserve"> vazio que ensina, carregando, enviando, confirmado, erro de validação, indisponível, sem conexão, retomada e permissão insuficiente. Ação irreversível explica seu efeito. Cancelamento financeiro exige política e rastreabilidade; “desfazer” não pode simular estorno inexistente.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 de usabilidade:</w:t>
      </w:r>
      <w:r>
        <w:rPr>
          <w:rFonts w:ascii="Arial" w:hAnsi="Arial"/>
          <w:b w:val="0"/>
          <w:sz w:val="21"/>
        </w:rPr>
        <w:t xml:space="preserve"> ao menos três participantes representando garçom, preparo e caixa/expedição, podendo acumular funções. Executar dez tarefas típicas com dados realistas, sem orientação durante a medição. Meta de aceite: 100% das tarefas críticas concluídas sem perda, cobrança indevida ou intervenção do moderador; pelo menos 90% do conjunto concluído sem ajuda. Comparar tempo, erro e correções com o fluxo atual da loja. São critérios propostos, ainda não resultados medidos.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Entrega de UX por sprint: fluxo, protótipo ou tela, textos/estados, critérios de acessibilidade e evidência em 375 px e desktop. Alterações em KDS/TV/Kiosk exigem também resolução e ambiente reais.</w:t>
      </w:r>
    </w:p>
    <w:p>
      <w:r>
        <w:br w:type="page"/>
      </w:r>
    </w:p>
    <w:p>
      <w:pPr>
        <w:pStyle w:val="Heading1"/>
        <w:keepNext/>
      </w:pPr>
      <w:r>
        <w:t>Atendimento e montagem por item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Fluxo do garçom:</w:t>
      </w:r>
      <w:r>
        <w:rPr>
          <w:rFonts w:ascii="Arial" w:hAnsi="Arial"/>
          <w:b w:val="0"/>
          <w:sz w:val="21"/>
        </w:rPr>
        <w:t xml:space="preserve"> abrir mesa/comanda → selecionar pessoa quando aplicável → escolher produto/tamanho → personalizar → revisar rodada → enviar. A revisão agrupa por destino de preparo, sem obrigar o garçom a conhecer IDs ou configurar roteamento.</w:t>
      </w:r>
    </w:p>
    <w:p>
      <w:pPr>
        <w:spacing w:after="80"/>
      </w:pPr>
      <w:r>
        <w:drawing>
          <wp:inline>
            <wp:extent cx="6400800" cy="2909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20" w:line="264" w:lineRule="auto"/>
      </w:pPr>
      <w:r>
        <w:rPr>
          <w:rFonts w:ascii="Arial" w:hAnsi="Arial"/>
          <w:b w:val="0"/>
          <w:i/>
          <w:sz w:val="18"/>
        </w:rPr>
        <w:t>Referência conceitual de interface. Não representa uma tela implementada ou homologada. Preços não foram definidos neste desenho.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Baguete:</w:t>
      </w:r>
      <w:r>
        <w:rPr>
          <w:rFonts w:ascii="Arial" w:hAnsi="Arial"/>
          <w:b w:val="0"/>
          <w:sz w:val="21"/>
        </w:rPr>
        <w:t xml:space="preserve"> 15 cm e 30 cm têm preço e ficha compatíveis com o cadastro. Recheios e acompanhamentos pertencem ao item. Não assumir consumo em dobro só pelo comprimento. Para marmitex, reaproveitar grupos e limites conforme cardápio real. Gelo/limão e ponto da carne são modificadores; não viram etapas universais.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Comportamento de envio:</w:t>
      </w:r>
      <w:r>
        <w:rPr>
          <w:rFonts w:ascii="Arial" w:hAnsi="Arial"/>
          <w:b w:val="0"/>
          <w:sz w:val="21"/>
        </w:rPr>
        <w:t xml:space="preserve"> obrigatório ausente destaca o grupo; opção indisponível informa alternativa; validação também ocorre no servidor. Duplo toque mantém uma operação idempotente. Falha de rede conserva a rodada como não confirmada; não mostrar “enviado” antes da confirmação.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Revisão:</w:t>
      </w:r>
      <w:r>
        <w:rPr>
          <w:rFonts w:ascii="Arial" w:hAnsi="Arial"/>
          <w:b w:val="0"/>
          <w:sz w:val="21"/>
        </w:rPr>
        <w:t xml:space="preserve"> duas baguetes com montagens diferentes aparecem em linhas distintas. Alterar quantidade mantém consistência de opções. O resumo mostra mesa, pessoa, rodada, itens e adicionais cobrados. Observação livre complementa a seleção estruturada, sem substituí-la.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Critérios de aceite:</w:t>
      </w:r>
      <w:r>
        <w:rPr>
          <w:rFonts w:ascii="Arial" w:hAnsi="Arial"/>
          <w:b w:val="0"/>
          <w:sz w:val="21"/>
        </w:rPr>
        <w:t xml:space="preserve"> lançar baguetes de ambos os tamanhos com opções diferentes; acrescentar bebida à mesma comanda; enviar nova rodada com ticket anterior concluído; retentar após falha de conexão; recusar produto/opção de outra loja; conferir opções no ticket, valor no caixa e consumo no estoque.</w:t>
      </w:r>
    </w:p>
    <w:p>
      <w:r>
        <w:br w:type="page"/>
      </w:r>
    </w:p>
    <w:p>
      <w:pPr>
        <w:pStyle w:val="Heading1"/>
        <w:keepNext/>
      </w:pPr>
      <w:r>
        <w:t>Preparo por estação e workflow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Entrada do operador:</w:t>
      </w:r>
      <w:r>
        <w:rPr>
          <w:rFonts w:ascii="Arial" w:hAnsi="Arial"/>
          <w:b w:val="0"/>
          <w:sz w:val="21"/>
        </w:rPr>
        <w:t xml:space="preserve"> identificar-se → escolher estação permitida → acompanhar sua fila. Cada ticket destaca item, quantidade, modificadores, mesa/destino, rodada e tempo. Ação principal depende do estado. A visão de gestão pode consolidar estações sem obrigar cada operador a usá-la.</w:t>
      </w:r>
    </w:p>
    <w:p>
      <w:pPr>
        <w:spacing w:after="80"/>
      </w:pPr>
      <w:r>
        <w:drawing>
          <wp:inline>
            <wp:extent cx="6400800" cy="2909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20" w:line="264" w:lineRule="auto"/>
      </w:pPr>
      <w:r>
        <w:rPr>
          <w:rFonts w:ascii="Arial" w:hAnsi="Arial"/>
          <w:b w:val="0"/>
          <w:i/>
          <w:sz w:val="18"/>
        </w:rPr>
        <w:t>Referência conceitual de interface para montagem. Os nomes das etapas devem refletir a operação configurada; este desenho não comprova funcionalidade em produção.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Workflows de referência:</w:t>
      </w:r>
      <w:r>
        <w:rPr>
          <w:rFonts w:ascii="Arial" w:hAnsi="Arial"/>
          <w:b w:val="0"/>
          <w:sz w:val="21"/>
        </w:rPr>
        <w:t xml:space="preserve"> montagem → conferência; fritura sob demanda → embalagem; forno sob demanda → embalagem; serviço de bebida → pronta. Salgado já pronto pode seguir direto à expedição. Reposição em lote é produção, com consumo próprio, não uma fritura nova por unidade vendida.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Regras de interação:</w:t>
      </w:r>
      <w:r>
        <w:rPr>
          <w:rFonts w:ascii="Arial" w:hAnsi="Arial"/>
          <w:b w:val="0"/>
          <w:sz w:val="21"/>
        </w:rPr>
        <w:t xml:space="preserve"> começar e concluir com uma ação; indicar atraso por texto/tempo além de cor; modificadores visíveis no cartão; nenhum item escondido porque a estação já tem ticket. Nova rodada deve ser distinguível sem reabrir silenciosamente trabalho concluído.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Configuração:</w:t>
      </w:r>
      <w:r>
        <w:rPr>
          <w:rFonts w:ascii="Arial" w:hAnsi="Arial"/>
          <w:b w:val="0"/>
          <w:sz w:val="21"/>
        </w:rPr>
        <w:t xml:space="preserve"> o gerente cria etapas e transições válidas, atribui workflow e estação ao produto e testa um exemplo. Mudança preserva versão/snapshot dos tickets ativos. Uma etapa desativada exige tratamento explícito. Item passando por várias estações em sequência tem teste próprio; múltiplos produtos em estações distintas não provam isso.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Aceite:</w:t>
      </w:r>
      <w:r>
        <w:rPr>
          <w:rFonts w:ascii="Arial" w:hAnsi="Arial"/>
          <w:b w:val="0"/>
          <w:sz w:val="21"/>
        </w:rPr>
        <w:t xml:space="preserve"> executar montagem, forno, fritura e bar simultaneamente; enviar três itens à mesma estação; concluir e receber segunda rodada; cancelar item; recusar avanço por papel indevido; recuperar atualização de tela sem duplicar preparo ou consumo.</w:t>
      </w:r>
    </w:p>
    <w:p>
      <w:r>
        <w:br w:type="page"/>
      </w:r>
    </w:p>
    <w:p>
      <w:pPr>
        <w:pStyle w:val="Heading1"/>
        <w:keepNext/>
      </w:pPr>
      <w:r>
        <w:t>Expedição caixa e telas de gestão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Expedição</w:t>
      </w:r>
      <w:r>
        <w:rPr>
          <w:rFonts w:ascii="Arial" w:hAnsi="Arial"/>
          <w:b w:val="0"/>
          <w:sz w:val="21"/>
        </w:rPr>
        <w:t xml:space="preserve"> consolida progresso das estações e o destino. Pronto no Bar não significa pedido inteiro pronto. A política permite servir bebida à mesa antes da refeição, enquanto o delivery aguarda os itens necessários à entrega.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464"/>
        <w:gridCol w:w="345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Identificação principal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Ação final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Mesa com garçom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Mesa, comanda e pessoa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Entregar item ou rodada e registrar serviço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Balcão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Senha conhecida pelo cliente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Chamar e confirmar retirada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Retirada online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Senha e pedido vinculado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Confirmar identidade operacional e entrega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Motoboy iFood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Referência iFood e fila de entregadores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Conferir volumes e registrar saída conforme canal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Delivery próprio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Pedido e responsável pela entrega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Despachar e acompanhar conclusão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Não converter DELIVERY em RETIRADA para fazê-lo aparecer no painel. As migrations já permitem configurar tipos no painel; validar a configuração antes de criar solução paralela. Senha interna não substitui código oficial de confirmação do marketplace quando aplicável. Não expor endereço, telefone ou informação financeira na TV pública.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Caixa</w:t>
      </w:r>
      <w:r>
        <w:rPr>
          <w:rFonts w:ascii="Arial" w:hAnsi="Arial"/>
          <w:b w:val="0"/>
          <w:sz w:val="21"/>
        </w:rPr>
        <w:t xml:space="preserve"> apresenta consumo, adicionais, descontos, pagamentos confirmados e saldo. Dividir pagamento não altera item/consumo. Cartão de maquininha externa deve dizer “Registrar pagamento recebido”, com confirmação explícita, e nunca fingir integração TEF. Recusa e pendência do gateway não recebem estilo de venda paga.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Nota e assinatura</w:t>
      </w:r>
      <w:r>
        <w:rPr>
          <w:rFonts w:ascii="Arial" w:hAnsi="Arial"/>
          <w:b w:val="0"/>
          <w:sz w:val="21"/>
        </w:rPr>
        <w:t xml:space="preserve"> apresentam competência/período, valor, pagamento, situação fiscal e acesso ao documento correto. Emissão pendente orienta a próxima ação; nenhuma mensagem de sucesso fiscal enquanto faltar autorização. O administrador deve localizar e recuperar falhas sem pedir que o assinante pague novamente.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Gerente</w:t>
      </w:r>
      <w:r>
        <w:rPr>
          <w:rFonts w:ascii="Arial" w:hAnsi="Arial"/>
          <w:b w:val="0"/>
          <w:sz w:val="21"/>
        </w:rPr>
        <w:t xml:space="preserve"> configura a operação em blocos: como vende, como prepara, personalizações, canais e entrega. Defaults são editáveis e adequados ao produto; a loja pode combinar capacidades. Produto DIRETO sem estação não vira trabalho de cozinha; com estação explícita pode exigir serviço de Bar.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Aceite de linguagem e navegação:</w:t>
      </w:r>
      <w:r>
        <w:rPr>
          <w:rFonts w:ascii="Arial" w:hAnsi="Arial"/>
          <w:b w:val="0"/>
          <w:sz w:val="21"/>
        </w:rPr>
        <w:t xml:space="preserve"> ações descrevem resultado; termos técnicos ficam fora da jornada operacional; estados de pagamento/preparo/entrega têm vocabulário consistente; cada função chega ao trabalho com poucos passos. Treinar no próprio fluxo, com exemplos e estados vazios úteis.</w:t>
      </w:r>
    </w:p>
    <w:p>
      <w:r>
        <w:br w:type="page"/>
      </w:r>
    </w:p>
    <w:p>
      <w:pPr>
        <w:pStyle w:val="Heading1"/>
        <w:keepNext/>
      </w:pPr>
      <w:r>
        <w:t>Sprint 15 Assinatura e nota fiscal válidas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o assinante paga, recebe o acesso contratado e uma NFS-e válida com dados corretos.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S01, S02, S03 e C01 aplicável.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financeira/fiscal; UX e QA apoiam; Rafael valida cadastro e oferta.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cobrança e documento fiscal. Fatiar contratação, renovação e entrega fiscal se não couberem no timebox.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Entrada:</w:t>
      </w:r>
      <w:r>
        <w:rPr>
          <w:rFonts w:ascii="Arial" w:hAnsi="Arial"/>
          <w:b w:val="0"/>
          <w:sz w:val="21"/>
        </w:rPr>
        <w:t xml:space="preserve"> dados corretos do prestador e tomador em fonte privada, configuração do provedor, plano/período aprovado e ambientes de teste disponíveis. Endereço fictício no PDF foi confirmado no código; a nota autorizada ainda precisa ser comparada.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S01 Cadastro e PDF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Substituir identificação fixa por fonte fiscal/snapshot; comparar endereço do PDF e nota oficial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S02 Contratação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Validar crédito e Pix, preço, parcelas, período e concessão de acesso no servidor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S02 Ciclo de vida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Renovação, recusa, atraso, cancelamento e repetição com efeito único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S03 Emissão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Fatura vinculada à autorização, com consulta após timeout e retry sem duplicar nota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S03 Entrega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Fila, envio, recebimento e documento correto na caixa do assinante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C01 Oferta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Landing, checkout e cobrança com mesmas condições; separar anual parcelado e recorrência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erro de cadastro aponta o campo; aprovação financeira e situação fiscal aparecem separadas. Falha na nota gera pendência recuperável. O assinante vê documento e histórico, sem informação técnica do provedor.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dada uma compra aprovada, o período de acesso e a fatura correspondem ao plano e valor; quando chega evento duplicado, não surge nova cobrança nem extensão dupla. Dada uma emissão autorizada, a consulta oficial confere com o PDF; quando o e-mail chega, o link abre apenas o documento permitido. Dado pagamento aprovado e falha fiscal, o sistema registra pendência e retenta a emissão sem recobrar.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contratação crédito/Pix, recusa, timeout, evento repetido/fora de ordem, renovação e cancelamento; comparação de dados fiscais e proteção de acesso; SMTP indisponível, destinatário inválido e retry. testada_ok não conta como nota emitida; fila ou SMTP aceito não contam como recebimento.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dossiê privado com transação, fatura, acesso, autorização, consulta oficial e e-mail recebido. Uma transação legítima de produção comprova o fluxo liberado; cenários de falha/renovação usam ambiente apropriado.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fiscal de venda do restaurante e importação de compra.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preservar cobrança confirmada, suspender novas tentativas ambíguas e reconciliar antes de reprocessar.</w:t>
      </w:r>
    </w:p>
    <w:p>
      <w:r>
        <w:br w:type="page"/>
      </w:r>
    </w:p>
    <w:p>
      <w:pPr>
        <w:pStyle w:val="Heading1"/>
        <w:keepNext/>
      </w:pPr>
      <w:r>
        <w:t>Sprint 16 Pagamento e pedidos do iFood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operação online e seus avisos nascem apenas após elegibilidade confirmada.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O01, O02, N06, I01, I02.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de pedidos/pagamentos; QA e operador validam.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credenciais e loja iFood autorizadas, catálogo piloto e contrato dos meios de pagamento.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pedido perdido ou duplicado.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O01 Eventos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Guardas no servidor/fila para painel, KDS, impressão, som, push e e-mail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O01 Confirmação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Pagamento consultado no provedor para a compra, valor e loja; transição idempotente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O02 Abandono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Expiração separada de pendência/timeout; recuperação comercial sem aviso operacional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I01 Jornada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Token, de-para, tamanhos/opções, valores, status, entrega e cancelamento conferidos nos dois sistemas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I02 Recuperação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Reentrega, lote parcial e ACK com persistência por evento, sem perder os pendentes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comprador vê pendência/recusa e o que fazer; lojista não vê checkout não pago na fila operacional. Destinatários são configurados por papel: cliente, loja e administrador do SaaS. Recuperação de carrinho é comunicação comercial separada e revalida se a compra já foi paga.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dado Pix pendente, durante todo o intervalo não há ticket, impressão, som, push, e-mail de pedido ou receita; quando confirmado, há uma operação e eventos deduplicados. Dado lote iFood com um evento inválido, os processados não duplicam e o pendente continua recuperável. Dado pagamento tardio de intenção expirada, o valor recebido é conciliado e tratado por política explícita, sem permanecer oculto como abandono.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eventos duplicados/fora de ordem, falha de rede, cartão em análise/recusado, Pix expirado, autenticação iFood, retorno de status, cancelamento, DELIVERY e retirada. Verificar cada resultado do lote: HTTP 200 não prova processamento de todos. O gatilho de e-mail no INSERT é um caminho prioritário de reprodução.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Decisão em aberto:</w:t>
      </w:r>
      <w:r>
        <w:rPr>
          <w:rFonts w:ascii="Arial" w:hAnsi="Arial"/>
          <w:b w:val="0"/>
          <w:sz w:val="21"/>
        </w:rPr>
        <w:t xml:space="preserve"> pré-pagamento no salão foi perguntado ao PO; preservar o modelo pós-consumo até decisão. iFood com pagamento na entrega requer política própria e leitura dos dados oficiais; não virar abandono nem “pago” por inferência.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registro correlacionado de evento externo, pedido interno, pagamento, ticket, aviso e retorno ao canal. Demonstrar também silêncio antes da aprovação.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reformular todo o financeiro.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pausar canal afetado, preservar eventos e conciliar antes de reentregar; não aceitar ACK indiscriminado para limpar fila.</w:t>
      </w:r>
    </w:p>
    <w:p>
      <w:r>
        <w:br w:type="page"/>
      </w:r>
    </w:p>
    <w:p>
      <w:pPr>
        <w:pStyle w:val="Heading1"/>
        <w:keepNext/>
      </w:pPr>
      <w:r>
        <w:t>Sprint 17 Estoque e entrada de notas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a primeira carga e o consumo da Natureba preservam quantidade, unidade, lote e custo.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N02, N03.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de estoque/fiscal; QA e operador.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documentos/fixtures realistas e catálogo de unidades.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contaminação de estoque e CMV.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N02 Conferência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Modal consome a inconsistência detectada e exige correção antes da efetivação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N02 Autoridade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Gravação também valida; chamada direta não contorna o bloqueio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N03 Unidades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Compra/estoque/consumo separados; conversão explícita, determinística e auditável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N03 Rastreio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Entrada, lote, movimento, consumo PEPS e custo conciliados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N03 Reprocessamento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Duplicidade, cancelamento e contagem física com histórico e efeito único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mostrar quantidade, unidade, unitário e total em colunas inequívocas. Linha pendente identifica o motivo e o campo a corrigir. Sugestão de IA tem origem/confiança; fatos XML prevalecem. De-para aprendido reduz preenchimento sem sobrescrever revisão humana. Confirmação mostra o efeito em unidade de estoque antes de gravar.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dada nota com 20 KG a R$ 18,90 e total R$ 378,00, entram 20 KG; dado 10 CX com fator 12 validado, entram 120 UN. Dada divergência aritmética, não há lote/movimento silencioso. Dada nota já efetivada, reimportar não duplica saldo. Ao cancelar consumo elegível, o rastro e o custo seguem a política de estorno existente.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KG, UN, CX, PC, LT, fração, descontos, preço unitário versus total, conversão ausente, lote/validade, duplicidade, concorrência e cancelamento. Conferir limpeza/embalagem fora da ficha alimentar quando apropriado. Provar também consumo de adicionais e produção em lote.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Implementação:</w:t>
      </w:r>
      <w:r>
        <w:rPr>
          <w:rFonts w:ascii="Arial" w:hAnsi="Arial"/>
          <w:b w:val="0"/>
          <w:sz w:val="21"/>
        </w:rPr>
        <w:t xml:space="preserve"> antes de alterar SQL, mapear RPC, triggers das tabelas tocadas e funções chamadas. Preservar PEPS existente; não reimplementar porque o corpo de uma RPC não cita lotes. Divergências históricas do tenant de provas são investigação separada após fechar a fonte ativa.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carga controlada e venda com saldo/lotes/custo conciliados, incluindo produto da montagem.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reescrever o ledger ou saneamento massivo de dados antigos.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impedir nova efetivação inconsistente, preservar staging/evidência e usar ajuste ou estorno rastreável; nunca editar saldo à mão para “bater”.</w:t>
      </w:r>
    </w:p>
    <w:p>
      <w:r>
        <w:br w:type="page"/>
      </w:r>
    </w:p>
    <w:p>
      <w:pPr>
        <w:pStyle w:val="Heading1"/>
        <w:keepNext/>
      </w:pPr>
      <w:r>
        <w:t>Sprint 18 Montagem rodadas e KDS dinâmico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cada item chega completo ao operador correto e segue o workflow aplicável.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N04, N05, N08, N13, N15, W01.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de pedidos/KDS e UX; operador valida.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item invisível, preparo errado ou consumo duplicado. Selecionar um fluxo vertical por incremento se necessário.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N04 Despacho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Item e opções completos antes do snapshot operacional; várias linhas e rodadas recuperáveis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N05 Validação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Produto/opção/loja, disponibilidade, repetição, mínimo/máximo e preço no servidor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N13 Montagem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Baguetes 15/30 e marmitex com ficha/preço e escolhas individuais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N08 W01 Estações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Roteamento, etapas, transições e acesso por papel; histórico preservado ao editar configuração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N15 Salgados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Venda pronta, reposição em lote e preparo sob demanda sem fabricação/baixa duplicada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aplicar as referências de atendimento e KDS deste documento; contexto da comanda persistente, modificadores em destaque e ação principal por estado. Expedição mostra pendências por estação/destino. Erro ou desconexão mantém estado honesto e caminho de retomada.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dada uma rodada com três itens da mesma estação, todos aparecem uma vez com opções. Dado ticket concluído, nova rodada é visível sem perder histórico. Dadas duas baguetes com tamanhos/recheios diferentes, preço, ficha, ticket e consumo correspondem a cada item. Dado workflow alterado pelo gerente, tickets ativos não mudam silenciosamente de significado.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opções inseridas depois do item, papel exclusivo de garçom, opções de outro produto/loja, preço adulterado, concorrência, retry, estação indisponível, cancelamento e avanço não autorizado. Executar montagem, bar, forno e fritura simultaneamente. Testar separadamente roteiro multiestação do mesmo item se fizer parte do escopo.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Implementação:</w:t>
      </w:r>
      <w:r>
        <w:rPr>
          <w:rFonts w:ascii="Arial" w:hAnsi="Arial"/>
          <w:b w:val="0"/>
          <w:sz w:val="21"/>
        </w:rPr>
        <w:t xml:space="preserve"> decidir incrementalidade por identidade do item/rodada e estado; não concatenar JSONB cegamente. Reusar o modelo de estações/workflows e convergir regras de preço e consumo. O cliente não escolhe preço final por payload.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garçom e operadores executam a jornada completa sem instrução do desenvolvedor; prints/gravação e rastreio por item anexados.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rodízio e redesign geral do ERP.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fila operacional persistente e auditável; pausar roteamento/configuração defeituosos sem apagar tickets ou repetir baixas.</w:t>
      </w:r>
    </w:p>
    <w:p>
      <w:r>
        <w:br w:type="page"/>
      </w:r>
    </w:p>
    <w:p>
      <w:pPr>
        <w:pStyle w:val="Heading1"/>
        <w:keepNext/>
      </w:pPr>
      <w:r>
        <w:t>Sprint 19 Virada da Natureba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a loja substitui o fluxo atual e completa um turno com caixa conciliado.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N01 restante, N07, N09, N10, N12, N14, N11 aplicável.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PO e operação, com engenharia/QA/UX.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S, O, I, estoque e KDS aprovados nos canais contratados.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interrupção de atendimento.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N12 Inventário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Funções usadas no Anota.ai, cardápio, opções, horários, entrega, pagamentos e histórico identificados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N10 Carga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De-para, preços/fichas, catálogo, estações, equipe e permissões conferidos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N14 Retirada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Filas de balcão, online e motoboy claras; destino iFood preservado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N09 Ensaio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Jornada de cada canal, pico acordado, cancelamento e fechamento com operador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N07 Release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Versões de frontend/banco/functions e recuperação verificadas antes da produção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N12 Virada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Janela, responsável por canal, pedidos antigos e contingência acordados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treinar pelas tarefas reais. Operador encontra pedido por senha/referência/mesa, identifica o que falta, registra entrega e fecha a conta. Cadastro não exige conhecer nomenclatura interna. Publicar guia curto de abertura, operação, incidentes e fechamento.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três retiradas simultâneas não confundem consumidor e motoboy; mesa não é chamada indevidamente ao balcão. Pedido antigo Anota.ai encerra na origem ou por procedimento reconciliado, sem ser importado como nova venda. Evento iFood repetido durante a troca não é comandado por dois sistemas. Caixa confere totais, cancelamentos e pagamentos.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ensaio de pico representativo definido com a loja, internet instável, impressora indisponível, permissão de garçom/caixa, estoque indisponível e pagamento pendente. Comparar tarefas ao sistema atual; não perder automação WhatsApp ou outra função utilizada sem perceber. Exportação/API Anota.ai dependem do acesso disponível, não são presumidas.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aceite formal por marco e fluxo, zero P0 aberto, testes críticos sem skip, operadores habilitados, plano de suporte com horário e dono. Primeiro turno assistido e conferência ao fechar; acompanhamento acordado dos três primeiros dias.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cancelar unilateralmente contrato Anota.ai, importar todo o histórico sem estratégia ou implantar funções futuras junto à virada.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controlar entrada de novos pedidos por canal; preservar histórico e pagamentos; reativação do fluxo anterior coordenada, sem reprocessar vendas pagas.</w:t>
      </w:r>
    </w:p>
    <w:p>
      <w:r>
        <w:br w:type="page"/>
      </w:r>
    </w:p>
    <w:p>
      <w:pPr>
        <w:pStyle w:val="Heading1"/>
        <w:keepNext/>
      </w:pPr>
      <w:r>
        <w:t>Sprint 20 Transmissão para TV com Cast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o operador seleciona uma TV compatível e transmite/controla o painel sem digitar URL.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D01, D02.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de displays e UX.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receptor, firmware, rede e navegador reais; registro do receiver. A prova D01 começa antes deste sprint.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médio, com dependência de plataforma.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D01 Compatibilidade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Modelo, firmware, navegador e descoberta na rede registrados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D01 Receiver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Custom Web Receiver com painel dinâmico em dispositivo real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D02 Sender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Botão Transmitir, seletor de TV e escolha de função/conteúdo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D02 Sessão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Credencial restrita à loja/tela, expiração, revogação e troca de controlador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D02 Recuperação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Interrupção de rede, celular bloqueado, reinício da TV e retomada testados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Solução escolhida:</w:t>
      </w:r>
      <w:r>
        <w:rPr>
          <w:rFonts w:ascii="Arial" w:hAnsi="Arial"/>
          <w:b w:val="0"/>
          <w:sz w:val="21"/>
        </w:rPr>
        <w:t xml:space="preserve"> Google Cast Web Sender e Custom Web Receiver para conteúdo próprio do MiseOn. Reutilizar componentes de display; receptor de mídia padrão não resolve sozinho um painel operacional dinâmico. Mesmo Wi-Fi não garante compatibilidade ou descoberta; validar isolamento de clientes da rede.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ação “Transmitir para TV” quando houver suporte; seleção reconhecível da tela; mostrar conectado, reconectando ou desconectado e como recuperar. Após conectar, operador escolhe senhas/cardápio ou função autorizada; pode parar ou transferir controle. Não enviar sessão administrativa à TV.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dado receptor compatível na rede, o operador transmite em até três ações, além da seleção inicial de conteúdo; dado celular desconectado, a sessão se comporta conforme política testada, sem inventar continuidade garantida. Dada credencial de outra loja ou revogada, conteúdo/acesso são recusados. TV pública não exibe detalhes privados do KDS.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duas TVs, reconexão, troca de operador, sessão expirada, reinício, rede segregada, navegador não suportado e atualização de conteúdo. Medir estabilidade por um turno representativo. Publicar matriz de compatibilidade observada; Chrome no iOS não suporta o Cast web descrito pelo Google. Suporte nativo iOS é extensão separada.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demonstração ao vivo com equipamento e condições documentados.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prometer qualquer Smart TV, AirPlay universal ou funcionamento offline; app nativo sem necessidade comprovada.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painel via navegador com pairing como alternativa explícita para dispositivo incompatível; não contabilizá-lo como entrega do Cast.</w:t>
      </w:r>
    </w:p>
    <w:p>
      <w:r>
        <w:br w:type="page"/>
      </w:r>
    </w:p>
    <w:p>
      <w:pPr>
        <w:pStyle w:val="Heading1"/>
        <w:keepNext/>
      </w:pPr>
      <w:r>
        <w:t>Sprint 21 Rodízio e operação mista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uma mesa combina rodízio, quilo e avulsos com cobrança e consumo corretos.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M01, M02, M03.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PO e engenharia de domínio; UX/QA/operação validam.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rodadas, autoridade de preço e estoque comprovados.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alto, por cobertura indevida e CMV incorreto.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M01 Política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Pacotes, participantes, tarifas, adicionais, serviço e cancelamento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M02 Adesão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Participante vinculado ao pacote e vigência com registro histórico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M02 Cobrança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Incluído não soma novamente; avulso e extra cobram pela regra contextual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M02 Consumo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Item incluído ainda gera consumo/custo aplicável e vai ao KDS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M03 Operação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Rodízio, quilo, mesa, bar, pastas, sobremesas e delivery em paralelo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comanda mostra quem aderiu, qual pacote e quantidade de participantes. No lançamento, “Incluído no pacote” ou valor adicional ficam claros antes de enviar. Caixa explica adesões, itens incluídos, extras e saldo. Transferência/cancelamento preservam o vínculo histórico e a política aprovada.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dois participantes no rodízio e um no quilo consomem na mesma mesa; item coberto não cobra de novo, bebida fora do pacote cobra e consumo de todos os itens aplicáveis permanece rastreável. Item de participante não aderente é avulso. Trocar preço futuro não altera conta histórica. Segunda rodada chega à estação correta sem duplicar adesão.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adulto/criança/cortesia apenas se contratados, adesão encerrada, opção extra, mudança de participante, cancelamento, divisão de pagamento, concorrência e tentativa de zerar preço no payload. Quilo respeita tara e unidade. Ilhas com preparo sob demanda e buffet já disponível usam o roteiro correto.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Implementação:</w:t>
      </w:r>
      <w:r>
        <w:rPr>
          <w:rFonts w:ascii="Arial" w:hAnsi="Arial"/>
          <w:b w:val="0"/>
          <w:sz w:val="21"/>
        </w:rPr>
        <w:t xml:space="preserve"> pacote é contexto da adesão, não atributo global de produto gratuito. Cobertura deriva no servidor e mantém snapshot. Reusar comanda/participante e autoridade de cálculo, depois de comprovar seus caminhos; não criar soma paralela no frontend.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mesa mista realista com extrato legível, tickets e CMV conciliados. Landing de rodízio só descreve o escopo comprovado. </w:t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todas as combinações tarifárias futuras e produto composto genérico sem necessidade.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impedir novas adesões inconsistentes, preservar consumo e recalcular somente por ação auditável e regra aprovada.</w:t>
      </w:r>
    </w:p>
    <w:p>
      <w:r>
        <w:br w:type="page"/>
      </w:r>
    </w:p>
    <w:p>
      <w:pPr>
        <w:pStyle w:val="Heading1"/>
        <w:keepNext/>
      </w:pPr>
      <w:r>
        <w:t>Sprint 22 Compra real no Kiosk Bravus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Objetivo:</w:t>
      </w:r>
      <w:r>
        <w:rPr>
          <w:rFonts w:ascii="Arial" w:hAnsi="Arial"/>
          <w:b w:val="0"/>
          <w:sz w:val="21"/>
        </w:rPr>
        <w:t xml:space="preserve"> um cliente escolhe, paga e retira pelo equipamento real com recuperação de falhas. </w:t>
      </w:r>
      <w:r>
        <w:rPr>
          <w:rFonts w:ascii="Arial" w:hAnsi="Arial"/>
          <w:b/>
          <w:sz w:val="21"/>
        </w:rPr>
        <w:t>IDs:</w:t>
      </w:r>
      <w:r>
        <w:rPr>
          <w:rFonts w:ascii="Arial" w:hAnsi="Arial"/>
          <w:b w:val="0"/>
          <w:sz w:val="21"/>
        </w:rPr>
        <w:t xml:space="preserve"> K01 a K05. </w:t>
      </w:r>
      <w:r>
        <w:rPr>
          <w:rFonts w:ascii="Arial" w:hAnsi="Arial"/>
          <w:b/>
          <w:sz w:val="21"/>
        </w:rPr>
        <w:t>Responsável:</w:t>
      </w:r>
      <w:r>
        <w:rPr>
          <w:rFonts w:ascii="Arial" w:hAnsi="Arial"/>
          <w:b w:val="0"/>
          <w:sz w:val="21"/>
        </w:rPr>
        <w:t xml:space="preserve"> engenharia de pagamentos/dispositivos, Bravus e UX; PO fecha contrato. </w:t>
      </w:r>
      <w:r>
        <w:rPr>
          <w:rFonts w:ascii="Arial" w:hAnsi="Arial"/>
          <w:b/>
          <w:sz w:val="21"/>
        </w:rPr>
        <w:t>Dependências:</w:t>
      </w:r>
      <w:r>
        <w:rPr>
          <w:rFonts w:ascii="Arial" w:hAnsi="Arial"/>
          <w:b w:val="0"/>
          <w:sz w:val="21"/>
        </w:rPr>
        <w:t xml:space="preserve"> SKU/SO/periféricos, protocolo de pagamento, equipamento e homologação. K01 inicia cedo. </w:t>
      </w:r>
      <w:r>
        <w:rPr>
          <w:rFonts w:ascii="Arial" w:hAnsi="Arial"/>
          <w:b/>
          <w:sz w:val="21"/>
        </w:rPr>
        <w:t>Risco:</w:t>
      </w:r>
      <w:r>
        <w:rPr>
          <w:rFonts w:ascii="Arial" w:hAnsi="Arial"/>
          <w:b w:val="0"/>
          <w:sz w:val="21"/>
        </w:rPr>
        <w:t xml:space="preserve"> alto; provavelmente exige mais de um sprint.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K01 Contrato técnico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Hardware, drivers, pinpad/impressora, provedor, suporte e ambiente definidos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K02 Pagamentos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Adaptador cria/consulta/cancela/reconcilia sem acoplar pedido ao fornecedor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K03 Jornada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Catálogo/opções reais, preço servidor, sessão de dispositivo e confirmação operacional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K04 Falhas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Timeout, rede, energia e impressora sem papel sem recobrança/perda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K05 Piloto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Provisionamento, revogação, privacidade, instalação e suporte aprovados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UX:</w:t>
      </w:r>
      <w:r>
        <w:rPr>
          <w:rFonts w:ascii="Arial" w:hAnsi="Arial"/>
          <w:b w:val="0"/>
          <w:sz w:val="21"/>
        </w:rPr>
        <w:t xml:space="preserve"> começar → escolher categoria/produto → personalizar por item → revisar → pagar → receber senha. CTA e controles de toque legíveis, ajuda acessível, sem jargão. Exibir indisponibilidade antes da cobrança; retentar conexão mantém contexto seguro. Sessão anterior não deixa dados do cliente para o próximo.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Cenários de aceite:</w:t>
      </w:r>
      <w:r>
        <w:rPr>
          <w:rFonts w:ascii="Arial" w:hAnsi="Arial"/>
          <w:b w:val="0"/>
          <w:sz w:val="21"/>
        </w:rPr>
        <w:t xml:space="preserve"> compra real de baguete com opções gera um pagamento, pedido, ticket e senha correlacionados. Dado pagamento aprovado seguido de reinício, consulta recupera a venda sem cobrar novamente. Dada impressora sem papel, cliente ainda vê identificação e instrução para retirada; falha é informada ao operador. Dada sessão expirada, nenhuma informação pessoal permanece acessível ao próximo cliente.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Testes:</w:t>
      </w:r>
      <w:r>
        <w:rPr>
          <w:rFonts w:ascii="Arial" w:hAnsi="Arial"/>
          <w:b w:val="0"/>
          <w:sz w:val="21"/>
        </w:rPr>
        <w:t xml:space="preserve"> aprovado, recusado, pendente, timeout, confirmação tardia, cancelamento/estorno homologados; perda de rede/energia; dois dispositivos; troca de turno; fila KDS e saldo. Provar cada combinação contratada de SO/periférico/provedor. Fabricante de hardware não é presumido como gateway.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Saída e Review:</w:t>
      </w:r>
      <w:r>
        <w:rPr>
          <w:rFonts w:ascii="Arial" w:hAnsi="Arial"/>
          <w:b w:val="0"/>
          <w:sz w:val="21"/>
        </w:rPr>
        <w:t xml:space="preserve"> dossiê de homologação e piloto assistido, com duração de teste, equipamento e versão; licença, instalação, custos de terceiros e suporte definidos. A demo atual usa catálogo local e aprovação por timer e permanece identificada como demonstração até substituir o caminho operacional.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Fora do escopo:</w:t>
      </w:r>
      <w:r>
        <w:rPr>
          <w:rFonts w:ascii="Arial" w:hAnsi="Arial"/>
          <w:b w:val="0"/>
          <w:sz w:val="21"/>
        </w:rPr>
        <w:t xml:space="preserve"> homologação de todo hardware disponível, TEF genérico ou novos fornecedores sem contrato. </w:t>
      </w:r>
      <w:r>
        <w:rPr>
          <w:rFonts w:ascii="Arial" w:hAnsi="Arial"/>
          <w:b/>
          <w:sz w:val="21"/>
        </w:rPr>
        <w:t>Recuperação:</w:t>
      </w:r>
      <w:r>
        <w:rPr>
          <w:rFonts w:ascii="Arial" w:hAnsi="Arial"/>
          <w:b w:val="0"/>
          <w:sz w:val="21"/>
        </w:rPr>
        <w:t xml:space="preserve"> suspender novas compras no dispositivo afetado, consultar pagamentos em aberto e orientar atendimento assistido; nunca confirmar pagamento localmente para contornar falha do provedor.</w:t>
      </w:r>
    </w:p>
    <w:p>
      <w:r>
        <w:br w:type="page"/>
      </w:r>
    </w:p>
    <w:p>
      <w:pPr>
        <w:pStyle w:val="Heading1"/>
        <w:keepNext/>
      </w:pPr>
      <w:r>
        <w:t>Oferta comercial e páginas de produto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C01 é bloqueante para vender com clareza.</w:t>
      </w:r>
      <w:r>
        <w:rPr>
          <w:rFonts w:ascii="Arial" w:hAnsi="Arial"/>
          <w:b w:val="0"/>
          <w:sz w:val="21"/>
        </w:rPr>
        <w:t xml:space="preserve"> Manter a assinatura principal e a vertical Kiosk separada conforme oferta atual, preservando contratos. Organizar capacidades sem criar novos níveis pagos por inferência. Preço, total anual, parcelas, descontos, trial, cancelamento e custos de terceiros devem coincidir com o backend.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464"/>
        <w:gridCol w:w="345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Família comercial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Conteúdo funcional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Página ou grupo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Atendimento e catálogo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PDV, mesa, QR, garçom, tamanhos, montagem, opções e rodadas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Lanchonete, restaurantes, cardápio QR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Canais e entrega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Delivery próprio, iFood, WhatsApp, retirada e entregador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Integração iFood, WhatsApp e segmentos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Operação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KDS, workflows, produção, bar, forno/fritura e expedição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Página KDS proposta e páginas por segmento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Estoque e resultado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Notas de compra, unidades, lotes, compras, PEPS, ficha, CMV e DRE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Estoque e gestão fiscal; ficha/CMV proposta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Fiscal e pagamentos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Fiscal ao consumidor, conciliação e assinatura com NFS-e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Gestão fiscal e oferta/checkout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Relacionamento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Clientes, cupons, cashback, recuperação e e-mails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Soluções de vendas e ajuda contextual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Especializadas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Nutrição, buffet/quilo, rodízio e multiunidade conforme escopo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Segmentos e conteúdo comprovado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Displays e Kiosk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Senhas, TV/Cast e autoatendimento Bravus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Painel de senhas TV e autoatendimento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Cada recurso recebe ID, resultado, tela, estado (planejado/piloto/disponível), oferta, limites, dependências, responsável e evidência. A matriz completa está em PLANO-COMERCIAL-FEATURES-SEO.md. Não anunciar Cast universal, POS homologado ou “todos os recursos” sem qualificar o escopo efetivamente liberado.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C02 acompanha as entregas:</w:t>
      </w:r>
      <w:r>
        <w:rPr>
          <w:rFonts w:ascii="Arial" w:hAnsi="Arial"/>
          <w:b w:val="0"/>
          <w:sz w:val="21"/>
        </w:rPr>
        <w:t xml:space="preserve"> problema do cliente → fluxo em tela → benefício observado → capacidades/limites → implantação → prova → CTA. Usar URLs existentes quando cobrirem a intenção. Novas páginas KDS, mesas/comandas, ficha/CMV e migração exigem conteúdo próprio e verificação de sobreposição. Estudo Natureba e comparações com Anota.ai dependem de resultados e autorização; não inventar superioridade ou depoimento.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SEO técnico:</w:t>
      </w:r>
      <w:r>
        <w:rPr>
          <w:rFonts w:ascii="Arial" w:hAnsi="Arial"/>
          <w:b w:val="0"/>
          <w:sz w:val="21"/>
        </w:rPr>
        <w:t xml:space="preserve"> conferir roteador, public-routes, prerender, sitemap, canonical, robots, mobile, metadados e ligações internas. Dados estruturados refletem conteúdo visível; áreas privadas e documentos fiscais não são indexados. Não multiplicar páginas quase iguais nem prometer ranking.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Medição:</w:t>
      </w:r>
      <w:r>
        <w:rPr>
          <w:rFonts w:ascii="Arial" w:hAnsi="Arial"/>
          <w:b w:val="0"/>
          <w:sz w:val="21"/>
        </w:rPr>
        <w:t xml:space="preserve"> visita → demonstração → cadastro qualificado → configuração → primeira venda operacional → assinatura paga conciliada → retenção. Carrinho não é receita. C01 aprova coerência; C02 aprova conteúdo/SEO e CTA funcionando. Publicação comercial acompanha o marco homologado.</w:t>
      </w:r>
    </w:p>
    <w:p>
      <w:r>
        <w:br w:type="page"/>
      </w:r>
    </w:p>
    <w:p>
      <w:pPr>
        <w:pStyle w:val="Heading1"/>
        <w:keepNext/>
      </w:pPr>
      <w:r>
        <w:t>Ensaio de lançamento e evidências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O lançamento pago exige assinatura/NFS-e, operação Natureba, iFood, notificações e KDS aprovados. Cast e Kiosk exigem seus marcos para serem vendidos como disponíveis. Toda evidência deve identificar versão, ambiente, cenário, resultado, executor e data, sem publicar dados fiscais, credenciais ou identificadores financeiros sensíveis.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Cenário obrigatório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Assinatura e NFS-e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Cobrança/acesso corretos, nota autorizada e recebida com endereço fiel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Pendência e abandono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Zero efeitos operacionais antes da aprovação online; recuperação separada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Baguetes e marmitex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Tamanho, escolhas, preço, estação e consumo corretos por item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Rodadas e preparo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Três itens e novas rodadas visíveis; workflows distintos sem duplicidade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iFood e retiradas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Eventos recuperáveis; status nos dois lados; cliente/motoboy separados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Nota de compra e CMV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Quantidades e conversões corretas; saldo/lotes/custo conciliados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Caixa e virada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Pedido antigo e novo rastreáveis; fechamento sem divergência inexplicada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Dispositivos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Falhas e reconexão sem perda, vazamento ou recobrança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Pré publicação:</w:t>
      </w:r>
      <w:r>
        <w:rPr>
          <w:rFonts w:ascii="Arial" w:hAnsi="Arial"/>
          <w:b w:val="0"/>
          <w:sz w:val="21"/>
        </w:rPr>
        <w:t xml:space="preserve"> zero P0 aberto; testes críticos executados; papéis reais e isolamento de loja provados; catálogo/configuração aprovados; revisão de UX e operador concluída; versões de banco/functions/frontend compatíveis; suporte e contingência definidos. O CI existente não prova que o deploy da Vercel aguarda todos os checks: verificar o processo de release.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Durante o piloto:</w:t>
      </w:r>
      <w:r>
        <w:rPr>
          <w:rFonts w:ascii="Arial" w:hAnsi="Arial"/>
          <w:b w:val="0"/>
          <w:sz w:val="21"/>
        </w:rPr>
        <w:t xml:space="preserve"> acompanhar pedidos confirmados sem ticket, duplicidades, atraso por estação, falhas de comunicação, divergência de caixa/lotes e necessidade de ajuda. Definir limites de tempo e volume com a loja antes do ensaio. Interromper o canal afetado por risco de integridade; preservar eventos/dados e reconciliar antes de retentar.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Pendências para o Planning:</w:t>
      </w:r>
      <w:r>
        <w:rPr>
          <w:rFonts w:ascii="Arial" w:hAnsi="Arial"/>
          <w:b w:val="0"/>
          <w:sz w:val="21"/>
        </w:rPr>
        <w:t xml:space="preserve"> data e pico Natureba; regras reais de montagem; política de cobrança no salão e iFood na entrega; funções indispensáveis do Anota.ai; TV/navegador/rede; equipamento/documentação Bravus; responsáveis nominais e capacidade semanal. Pendência tem dono e próxima ação, nunca aprovação presumida.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Base desta versão:</w:t>
      </w:r>
      <w:r>
        <w:rPr>
          <w:rFonts w:ascii="Arial" w:hAnsi="Arial"/>
          <w:b w:val="0"/>
          <w:sz w:val="21"/>
        </w:rPr>
        <w:t xml:space="preserve"> repositório local em e1076b6, mandato e handoff de 09/09/2026; TypeScript PASS, Vitest 377 PASS e 14 SKIPPED; handler fiscal Deno PASS. Atualização 09/09: PDF corrigido publicado e conferido com contrato social; gatilhos de confirmação de pedido corrigidos e verificados no banco, com rollback de fixtures. Sem nova prova de pagamento real, emissão, recebimento de e-mail, iFood, Cast ou hardware. Os testes locais não certificam esses fluxos.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</w:r>
      <w:r>
        <w:rPr>
          <w:rFonts w:ascii="Arial" w:hAnsi="Arial"/>
          <w:b/>
          <w:sz w:val="21"/>
        </w:rPr>
        <w:t>Documentos de trabalho:</w:t>
      </w:r>
      <w:r>
        <w:rPr>
          <w:rFonts w:ascii="Arial" w:hAnsi="Arial"/>
          <w:b w:val="0"/>
          <w:sz w:val="21"/>
        </w:rPr>
        <w:t xml:space="preserve"> PLANO-LANCAMENTO-NATUREBA-KIOSK.md concentra achados e contratos de aceite; PLANO-COMERCIAL-FEATURES-SEO.md detalha a oferta; MISEON_HEAD_OF_ENGINEERING.md registra decisões. Este documento é a referência de execução da equipe e deve ser atualizado junto ao board.</w:t>
      </w:r>
    </w:p>
    <w:p>
      <w:r>
        <w:br w:type="page"/>
      </w:r>
    </w:p>
    <w:p>
      <w:pPr>
        <w:pStyle w:val="Heading1"/>
        <w:keepNext/>
      </w:pPr>
      <w:r>
        <w:t>Referências e rastreabilidade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21"/>
        </w:rPr>
        <w:t>Fontes técnicas consultadas em 09/09/2026. Elas orientam o planejamento; não comprovam a configuração ou homologação específica do MiseOn. Registrar evidência de execução nos itens do backlog.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Referência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8365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 no plano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Scrum Guide oficial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Product Goal, Sprint Goal, responsabilidades e Definition of Done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GitHub Projects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Board, iterações, campos e ligação entre issues e PRs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W3C WCAG 2.2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Acessibilidade e critérios para controles operacionais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Efí Notificações e Assinatura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Consulta de eventos, cobrança e recorrência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Prefeitura de São Paulo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Consulta de autenticidade da NFS-e, se confirmado o emissor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iFood Developer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Eventos/ACK e contratos de integração; acesso integral retornou 403 na pesquisa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Google Cast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Sender, Custom Web Receiver e limites de compatibilidade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Google Search Central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Conteúdo útil, confiável e orientado ao público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Bravus Core e Anota AI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Descoberta de hardware e possibilidades de integração/migração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https://scrumguides.org/scrum-guide.html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https://docs.github.com/en/issues/planning-and-tracking-with-projects/learning-about-projects/about-projects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https://www.w3.org/WAI/WCAG22/Understanding/target-size-minimum.html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https://dev.efipay.com.br/docs/api-cobrancas/notificacoes/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https://dev.efipay.com.br/docs/api-cobrancas/assinatura/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https://nfe.prefeitura.sp.gov.br/publico/verificacao.aspx?tipo=0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https://developer.ifood.com.br/pt-BR/docs/guides/modules/events/polling-overview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https://developers.google.com/cast/docs/web_receiver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https://developers.google.com/cast/docs/web_sender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https://developers.google.com/search/docs/fundamentals/creating-helpful-content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https://bravuscore.com.br/</w:t>
      </w:r>
    </w:p>
    <w:p>
      <w:pPr>
        <w:widowControl/>
        <w:spacing w:after="120" w:line="264" w:lineRule="auto"/>
      </w:pPr>
      <w:r>
        <w:rPr>
          <w:rFonts w:ascii="Arial" w:hAnsi="Arial"/>
          <w:b w:val="0"/>
          <w:sz w:val="18"/>
        </w:rPr>
        <w:t>https://integ-public-platform-docs.anota.ai/</w:t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3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0"/>
      <w:gridCol w:w="1440"/>
      <w:tblGridChange w:id="0">
        <w:tblGrid>
          <w:gridCol w:w="8640"/>
          <w:gridCol w:w="14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9">
          <w:pPr>
            <w:spacing w:after="0" w:before="0" w:line="240" w:lineRule="auto"/>
            <w:rPr>
              <w:sz w:val="18"/>
              <w:szCs w:val="18"/>
            </w:rPr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5a5a5a"/>
              <w:sz w:val="18"/>
              <w:szCs w:val="18"/>
              <w:rtl w:val="0"/>
            </w:rPr>
            <w:t xml:space="preserve">MiseOn | Plano de execução | 09 setembro 2026</w:t>
          </w:r>
          <w:r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A">
          <w:pPr>
            <w:spacing w:after="0" w:before="0" w:line="240" w:lineRule="auto"/>
            <w:jc w:val="right"/>
            <w:rPr/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tl w:val="0"/>
            </w:rPr>
          </w:r>
        </w:p>
      </w:tc>
    </w:tr>
  </w:tbl>
  <w:p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2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60"/>
      <w:gridCol w:w="7020"/>
      <w:tblGridChange w:id="0">
        <w:tblGrid>
          <w:gridCol w:w="3060"/>
          <w:gridCol w:w="702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4">
          <w:pPr>
            <w:spacing w:after="0" w:before="0" w:line="240" w:lineRule="auto"/>
            <w:rPr>
              <w:color w:val="f27c26"/>
              <w:sz w:val="28"/>
              <w:szCs w:val="28"/>
            </w:rPr>
          </w:pPr>
          <w:r>
            <w:rPr>
              <w:rFonts w:ascii="Arial" w:cs="Arial" w:eastAsia="Arial" w:hAnsi="Arial"/>
              <w:b w:val="1"/>
              <w:bCs w:val="1"/>
              <w:i w:val="0"/>
              <w:iCs w:val="0"/>
              <w:color w:val="f27c26"/>
              <w:sz w:val="48"/>
              <w:szCs w:val="48"/>
              <w:rtl w:val="0"/>
            </w:rPr>
            <w:t xml:space="preserve">MISEON</w:t>
          </w:r>
          <w:r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5">
          <w:pPr>
            <w:spacing w:after="0" w:before="0" w:line="252.00000000000003" w:lineRule="auto"/>
            <w:rPr>
              <w:sz w:val="18"/>
              <w:szCs w:val="18"/>
            </w:rPr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Produto e engenharia</w:t>
          </w:r>
          <w:r>
            <w:rPr>
              <w:rtl w:val="0"/>
            </w:rPr>
          </w:r>
        </w:p>
        <w:p w14:paraId="00000016">
          <w:pPr>
            <w:spacing w:after="0" w:before="0" w:line="252.00000000000003" w:lineRule="auto"/>
            <w:rPr>
              <w:sz w:val="18"/>
              <w:szCs w:val="18"/>
            </w:rPr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Plano de lançamento | miseon.app.br</w:t>
          </w:r>
          <w:r>
            <w:rPr>
              <w:rtl w:val="0"/>
            </w:rPr>
          </w:r>
        </w:p>
      </w:tc>
    </w:tr>
  </w:tbl>
  <w:p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264" w:lineRule="auto" w:after="12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0" w:lineRule="auto"/>
    </w:pPr>
    <w:rPr>
      <w:rFonts w:ascii="Arial" w:cs="Calibri" w:eastAsia="Calibri" w:hAnsi="Arial"/>
      <w:b/>
      <w:bCs w:val="1"/>
      <w:color w:val="000000"/>
      <w:sz w:val="34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Calibri" w:eastAsia="Calibri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Calibri" w:eastAsia="Calibri" w:hAnsi="Arial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Calibri" w:eastAsia="Calibri" w:hAnsi="Arial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