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070C18"/>
            <w:tcMar>
              <w:top w:w="520" w:type="dxa"/>
              <w:start w:w="420" w:type="dxa"/>
              <w:bottom w:w="430" w:type="dxa"/>
              <w:end w:w="420" w:type="dxa"/>
            </w:tcMar>
          </w:tcPr>
          <w:p>
            <w:pPr>
              <w:spacing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112297"/>
                  <wp:docPr id="1" name="Picture 1" descr="Logotipo horizontal oficial do MiseOn." title="Mise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horizont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112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58"/>
              </w:rPr>
              <w:t>MANUAL DO SISTEMA</w:t>
            </w:r>
          </w:p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color w:val="EAF1FB"/>
                <w:sz w:val="30"/>
              </w:rPr>
              <w:t>Operação, gestão e configuração</w:t>
            </w:r>
          </w:p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color w:val="FC5B24"/>
                <w:sz w:val="22"/>
              </w:rPr>
              <w:t>Versão 20 de setembro de 2026</w:t>
            </w:r>
          </w:p>
        </w:tc>
      </w:tr>
    </w:tbl>
    <w:p>
      <w:pPr>
        <w:widowControl/>
        <w:spacing w:line="276" w:lineRule="auto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8F7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0F766E"/>
                <w:sz w:val="22"/>
              </w:rPr>
              <w:t>MANUAL VALIDADO CONTRA O PRODUTO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As telas deste documento foram selecionadas para corresponder ao assunto da página. Recursos que dependem de configuração e telas demonstrativas estão identificados claramente.</w:t>
            </w:r>
          </w:p>
          <w:p>
            <w:pPr>
              <w:spacing w:before="100" w:after="0" w:line="259" w:lineRule="auto"/>
            </w:pPr>
            <w:r>
              <w:rPr>
                <w:rFonts w:ascii="Manrope" w:hAnsi="Manrope" w:eastAsia="Manrope" w:cs="Manrope"/>
                <w:b/>
                <w:color w:val="FC5B24"/>
                <w:sz w:val="22"/>
              </w:rPr>
              <w:t>Edição auditada em 20/09/2026  •  uso comercial condicionado aos gates do capítulo 21</w:t>
            </w:r>
          </w:p>
        </w:tc>
      </w:tr>
    </w:tbl>
    <w:p>
      <w:pPr>
        <w:widowControl/>
        <w:spacing w:after="120" w:line="276" w:lineRule="auto"/>
      </w:pPr>
    </w:p>
    <w:p>
      <w:pPr>
        <w:widowControl/>
        <w:spacing w:line="276" w:lineRule="auto" w:after="120"/>
        <w:jc w:val="center"/>
      </w:pPr>
      <w:r>
        <w:rPr>
          <w:rFonts w:ascii="Manrope" w:hAnsi="Manrope" w:eastAsia="Manrope" w:cs="Manrope"/>
          <w:i w:val="0"/>
          <w:color w:val="52606D"/>
          <w:sz w:val="25"/>
        </w:rPr>
        <w:t>Para quem é este manual: proprietários, administradores, gerentes e equipe operacional.</w:t>
      </w:r>
    </w:p>
    <w:p>
      <w:pPr>
        <w:pageBreakBefore/>
        <w:widowControl/>
        <w:spacing w:after="280" w:line="276" w:lineRule="auto"/>
      </w:pPr>
      <w:r>
        <w:rPr>
          <w:rFonts w:ascii="Manrope" w:hAnsi="Manrope" w:eastAsia="Manrope" w:cs="Manrope"/>
          <w:b/>
          <w:color w:val="004198"/>
          <w:sz w:val="50"/>
        </w:rPr>
        <w:t>Sumário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F5F8FC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/>
                <w:color w:val="070C18"/>
                <w:sz w:val="22"/>
              </w:rPr>
              <w:t>01  Comece por aqui</w:t>
            </w:r>
          </w:p>
        </w:tc>
        <w:tc>
          <w:tcPr>
            <w:tcW w:type="dxa" w:w="5112"/>
            <w:shd w:fill="F5F8FC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/>
                <w:color w:val="070C18"/>
                <w:sz w:val="22"/>
              </w:rPr>
              <w:t>10  Financeiro, custos e DRE</w:t>
            </w:r>
          </w:p>
        </w:tc>
      </w:tr>
      <w:tr>
        <w:trPr>
          <w:cantSplit/>
        </w:trPr>
        <w:tc>
          <w:tcPr>
            <w:tcW w:type="dxa" w:w="5112"/>
            <w:shd w:fill="FFFFFF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02  O fluxo completo do pedido</w:t>
            </w:r>
          </w:p>
        </w:tc>
        <w:tc>
          <w:tcPr>
            <w:tcW w:type="dxa" w:w="5112"/>
            <w:shd w:fill="FFFFFF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11  WhatsApp com IA</w:t>
            </w:r>
          </w:p>
        </w:tc>
      </w:tr>
      <w:tr>
        <w:trPr>
          <w:cantSplit/>
        </w:trPr>
        <w:tc>
          <w:tcPr>
            <w:tcW w:type="dxa" w:w="5112"/>
            <w:shd w:fill="F5F8FC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03  PDV e atendimento de balcão</w:t>
            </w:r>
          </w:p>
        </w:tc>
        <w:tc>
          <w:tcPr>
            <w:tcW w:type="dxa" w:w="5112"/>
            <w:shd w:fill="F5F8FC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12  iFood e canais externos</w:t>
            </w:r>
          </w:p>
        </w:tc>
      </w:tr>
      <w:tr>
        <w:trPr>
          <w:cantSplit/>
        </w:trPr>
        <w:tc>
          <w:tcPr>
            <w:tcW w:type="dxa" w:w="5112"/>
            <w:shd w:fill="FFFFFF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04  Salão: mesas, comandas, garçom e QR</w:t>
            </w:r>
          </w:p>
        </w:tc>
        <w:tc>
          <w:tcPr>
            <w:tcW w:type="dxa" w:w="5112"/>
            <w:shd w:fill="FFFFFF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13  Fiscal: importação e emissão</w:t>
            </w:r>
          </w:p>
        </w:tc>
      </w:tr>
      <w:tr>
        <w:trPr>
          <w:cantSplit/>
        </w:trPr>
        <w:tc>
          <w:tcPr>
            <w:tcW w:type="dxa" w:w="5112"/>
            <w:shd w:fill="F5F8FC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05  KDS e produção</w:t>
            </w:r>
          </w:p>
        </w:tc>
        <w:tc>
          <w:tcPr>
            <w:tcW w:type="dxa" w:w="5112"/>
            <w:shd w:fill="F5F8FC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14  Marketing e relacionamento</w:t>
            </w:r>
          </w:p>
        </w:tc>
      </w:tr>
      <w:tr>
        <w:trPr>
          <w:cantSplit/>
        </w:trPr>
        <w:tc>
          <w:tcPr>
            <w:tcW w:type="dxa" w:w="5112"/>
            <w:shd w:fill="FFFFFF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06  Delivery, retirada e expedição</w:t>
            </w:r>
          </w:p>
        </w:tc>
        <w:tc>
          <w:tcPr>
            <w:tcW w:type="dxa" w:w="5112"/>
            <w:shd w:fill="FFFFFF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15  Equipe, configurações e assinatura</w:t>
            </w:r>
          </w:p>
        </w:tc>
      </w:tr>
      <w:tr>
        <w:trPr>
          <w:cantSplit/>
        </w:trPr>
        <w:tc>
          <w:tcPr>
            <w:tcW w:type="dxa" w:w="5112"/>
            <w:shd w:fill="F5F8FC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07  Cardápio digital e checkout</w:t>
            </w:r>
          </w:p>
        </w:tc>
        <w:tc>
          <w:tcPr>
            <w:tcW w:type="dxa" w:w="5112"/>
            <w:shd w:fill="F5F8FC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16  Rotinas diárias</w:t>
            </w:r>
          </w:p>
        </w:tc>
      </w:tr>
      <w:tr>
        <w:trPr>
          <w:cantSplit/>
        </w:trPr>
        <w:tc>
          <w:tcPr>
            <w:tcW w:type="dxa" w:w="5112"/>
            <w:shd w:fill="FFFFFF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08  Estoque, entrada fiscal e rastreabilidade</w:t>
            </w:r>
          </w:p>
        </w:tc>
        <w:tc>
          <w:tcPr>
            <w:tcW w:type="dxa" w:w="5112"/>
            <w:shd w:fill="FFFFFF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17  Solução de problemas</w:t>
            </w:r>
          </w:p>
        </w:tc>
      </w:tr>
      <w:tr>
        <w:trPr>
          <w:cantSplit/>
        </w:trPr>
        <w:tc>
          <w:tcPr>
            <w:tcW w:type="dxa" w:w="5112"/>
            <w:shd w:fill="F5F8FC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09  Compras e fornecedores</w:t>
            </w:r>
          </w:p>
        </w:tc>
        <w:tc>
          <w:tcPr>
            <w:tcW w:type="dxa" w:w="5112"/>
            <w:shd w:fill="F5F8FC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18  Referência rápida de status</w:t>
            </w:r>
          </w:p>
        </w:tc>
      </w:tr>
      <w:tr>
        <w:trPr>
          <w:cantSplit/>
          <w:cantSplit/>
        </w:trPr>
        <w:tc>
          <w:tcPr>
            <w:tcW w:type="dxa" w:w="51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A"/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/>
                <w:color w:val="070C18"/>
                <w:sz w:val="22"/>
              </w:rPr>
              <w:t>19  Onboarding por perfil</w:t>
            </w:r>
          </w:p>
        </w:tc>
        <w:tc>
          <w:tcPr>
            <w:tcW w:type="dxa" w:w="51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A"/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/>
                <w:color w:val="070C18"/>
                <w:sz w:val="22"/>
              </w:rPr>
              <w:t>20  Custo 3D e Rastreio 3D</w:t>
            </w:r>
          </w:p>
        </w:tc>
      </w:tr>
      <w:tr>
        <w:trPr>
          <w:cantSplit/>
          <w:cantSplit/>
        </w:trPr>
        <w:tc>
          <w:tcPr>
            <w:tcW w:type="dxa" w:w="51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A"/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/>
                <w:color w:val="070C18"/>
                <w:sz w:val="22"/>
              </w:rPr>
              <w:t>21  Liberação comercial e garantia</w:t>
            </w:r>
          </w:p>
        </w:tc>
        <w:tc>
          <w:tcPr>
            <w:tcW w:type="dxa" w:w="51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6FA"/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/>
                <w:color w:val="070C18"/>
                <w:sz w:val="22"/>
              </w:rPr>
              <w:t>Apêndice  Checklist de evidências</w:t>
            </w:r>
          </w:p>
        </w:tc>
      </w:tr>
    </w:tbl>
    <w:p>
      <w:pPr>
        <w:widowControl/>
        <w:spacing w:line="276" w:lineRule="auto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1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004198"/>
                <w:sz w:val="22"/>
              </w:rPr>
              <w:t>NAVEGAÇÃO NO WORD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Os títulos deste manual aparecem no painel de navegação. Use Exibir → Painel de Navegação para ir direto ao capítulo desejado.</w:t>
            </w:r>
          </w:p>
        </w:tc>
      </w:tr>
    </w:tbl>
    <w:p>
      <w:pPr>
        <w:pStyle w:val="Heading1"/>
        <w:keepNext/>
        <w:widowControl/>
      </w:pPr>
      <w:r>
        <w:rPr>
          <w:rFonts w:ascii="Sora" w:hAnsi="Sora" w:eastAsia="Sora" w:cs="Sora"/>
          <w:sz w:val="44"/>
        </w:rPr>
        <w:t>01  Comece por aqui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Entenda a legenda, a navegação e a ordem recomendada de configuração.</w:t>
      </w:r>
    </w:p>
    <w:p>
      <w:pPr>
        <w:keepNext/>
        <w:widowControl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6400800" cy="1520190"/>
            <wp:docPr id="2" name="Picture 2" descr="Legenda usada ao longo do manual: disponível, requer configuração e demonstrativo." title="Legenda Statu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enda-stat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iseOn"/>
        <w:widowControl/>
        <w:spacing w:line="276" w:lineRule="auto" w:after="120"/>
        <w:jc w:val="center"/>
      </w:pPr>
      <w:r>
        <w:rPr>
          <w:rFonts w:ascii="Manrope" w:hAnsi="Manrope" w:eastAsia="Manrope" w:cs="Manrope"/>
          <w:sz w:val="25"/>
        </w:rPr>
        <w:t>Legenda usada ao longo do manual: disponível, requer configuração e demonstrativo.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O que este manual cobre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acesso, perfis e seleção da loja;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PDV, mesas, comanda do garçom e QR Code;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KDS, produção, entrega e cardápio digital;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estoque, fichas técnicas, compras, custos e financeiro;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WhatsApp com IA, iFood, fiscal, marketing e configurações;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rotinas de abertura, fechamento e solução de problemas.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A5B00"/>
                <w:sz w:val="22"/>
              </w:rPr>
              <w:t>PROTEÇÃO IMPORTANTE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Este manual não substitui orientação contábil ou fiscal. Emissão de NFC-e depende de configuração e homologação. A tela de DRE mostrada nesta versão é demonstrativa.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Ordem recomendada para implantar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Crie a conta e confirme o link recebido por e-mail.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Cadastre a loja, horários, endereço, formas de pagamento e equipe.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Monte categorias, produtos, adicionais e disponibilidade do cardápio.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Configure mesas, estações do KDS e impressoras ou telas necessárias.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Cadastre insumos, unidades, embalagens e fichas técnicas antes de confiar em custos e margens.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6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Ative integrações externas somente depois de conferir credenciais, ambiente e responsabilidade operacional.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Acesso e perfis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Acesse a área do lojista e entre por Google, e-mail/senha ou link mágico.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Se você estiver criando a primeira loja, use o fluxo de cadastro: ele envia um link para criar a conta e continuar a configuração.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Se a conta já estiver vinculada a mais de uma unidade, o build auditado oferece seletor de loja. A criação self-service da segunda unidade ainda não está liberada.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Antes de lançar pedidos, confirme o nome da loja ativa e o papel do usuário.</w:t>
            </w:r>
          </w:p>
        </w:tc>
      </w:tr>
    </w:tbl>
    <w:p>
      <w:pPr>
        <w:widowControl/>
        <w:spacing w:after="12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00"/>
            <w:shd w:fill="0041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Perfil</w:t>
            </w:r>
          </w:p>
        </w:tc>
        <w:tc>
          <w:tcPr>
            <w:tcW w:type="dxa" w:w="3888"/>
            <w:shd w:fill="0041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Uso esperado</w:t>
            </w:r>
          </w:p>
        </w:tc>
        <w:tc>
          <w:tcPr>
            <w:tcW w:type="dxa" w:w="4320"/>
            <w:shd w:fill="0041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Cuidados</w:t>
            </w:r>
          </w:p>
        </w:tc>
      </w:tr>
      <w:tr>
        <w:trPr>
          <w:cantSplit/>
        </w:trPr>
        <w:tc>
          <w:tcPr>
            <w:tcW w:type="dxa" w:w="1800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Admin</w:t>
            </w:r>
          </w:p>
        </w:tc>
        <w:tc>
          <w:tcPr>
            <w:tcW w:type="dxa" w:w="3888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Configuração, equipe, módulos e visão ampla.</w:t>
            </w:r>
          </w:p>
        </w:tc>
        <w:tc>
          <w:tcPr>
            <w:tcW w:type="dxa" w:w="4320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Conceda apenas a quem precisa alterar a operação.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Balcão</w:t>
            </w:r>
          </w:p>
        </w:tc>
        <w:tc>
          <w:tcPr>
            <w:tcW w:type="dxa" w:w="38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PDV, pedidos e rotinas do atendimento.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Use conta individual e revise a loja ativa.</w:t>
            </w:r>
          </w:p>
        </w:tc>
      </w:tr>
      <w:tr>
        <w:trPr>
          <w:cantSplit/>
        </w:trPr>
        <w:tc>
          <w:tcPr>
            <w:tcW w:type="dxa" w:w="1800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Garçom</w:t>
            </w:r>
          </w:p>
        </w:tc>
        <w:tc>
          <w:tcPr>
            <w:tcW w:type="dxa" w:w="3888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Mesas, comandas e tarefas do salão.</w:t>
            </w:r>
          </w:p>
        </w:tc>
        <w:tc>
          <w:tcPr>
            <w:tcW w:type="dxa" w:w="4320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Não compartilhe credenciais entre o turno.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Entregador</w:t>
            </w:r>
          </w:p>
        </w:tc>
        <w:tc>
          <w:tcPr>
            <w:tcW w:type="dxa" w:w="38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Entregas e rotas atribuídas.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Evite liberar áreas administrativas.</w:t>
            </w:r>
          </w:p>
        </w:tc>
      </w:tr>
    </w:tbl>
    <w:p>
      <w:pPr>
        <w:pStyle w:val="Heading1"/>
        <w:keepNext/>
        <w:widowControl/>
      </w:pPr>
      <w:r>
        <w:rPr>
          <w:rFonts w:ascii="Sora" w:hAnsi="Sora" w:eastAsia="Sora" w:cs="Sora"/>
          <w:sz w:val="44"/>
        </w:rPr>
        <w:t>02  O fluxo completo do pedido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A mesma operação recebe pedidos de diferentes canais e encaminha tudo para produção e gestão.</w:t>
      </w:r>
    </w:p>
    <w:p>
      <w:pPr>
        <w:keepNext/>
        <w:widowControl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32704" cy="1940153"/>
            <wp:docPr id="3" name="Picture 3" descr="Visão geral do fluxo MiseOn. As integrações externas exigem configuração." title="Fluxo Comple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-comple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1940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iseOn"/>
        <w:widowControl/>
        <w:spacing w:line="276" w:lineRule="auto" w:after="120"/>
        <w:jc w:val="center"/>
      </w:pPr>
      <w:r>
        <w:rPr>
          <w:rFonts w:ascii="Manrope" w:hAnsi="Manrope" w:eastAsia="Manrope" w:cs="Manrope"/>
          <w:sz w:val="25"/>
        </w:rPr>
        <w:t>Visão geral do fluxo MiseOn. As integrações externas exigem configuração.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Como o fluxo se organiza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O pedido nasce no PDV, na mesa, no cardápio, no delivery, no WhatsApp ou no autoatendimento.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Itens, adicionais, observações e preço são registrados no pedido.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 produção recebe o que precisa preparar no KDS, separado pelas etapas configuradas.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Depois do preparo, o pedido segue para mesa, retirada ou entrega.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Estoque, ficha técnica e custo usam os dados operacionais disponíveis para atualizar a gestão.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1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004198"/>
                <w:sz w:val="22"/>
              </w:rPr>
              <w:t>COMO INTERPRETAR CUSTOS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Custo confiável depende de embalagem, quantidade, rendimento e ficha corretos. Quando a base não é suficiente, o sistema pode deixar a margem sem valor e explicar o motivo.</w:t>
            </w:r>
          </w:p>
        </w:tc>
      </w:tr>
    </w:tbl>
    <w:p>
      <w:pPr>
        <w:pStyle w:val="Heading1"/>
        <w:keepNext/>
        <w:widowControl/>
      </w:pPr>
      <w:r>
        <w:rPr>
          <w:rFonts w:ascii="Sora" w:hAnsi="Sora" w:eastAsia="Sora" w:cs="Sora"/>
          <w:sz w:val="44"/>
        </w:rPr>
        <w:t>03  PDV e atendimento de balcão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Registre pedidos rápidos, pagamentos e senhas sem perder o vínculo com a produção.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Antes do primeiro pedido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confirme que o caixa e a loja ativos estão corretos;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verifique disponibilidade e preço dos produtos;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confira formas de pagamento e impressoras/telas usadas no turno;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defina retirada, consumo local ou entrega quando o fluxo solicitar.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Lançar um pedido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Abra o PDV e localize o produto pela categoria ou pela busca.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Selecione tamanho, adicionais e observações quando o item oferecer essas opções.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Revise quantidade, preço e destino antes de concluir.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Escolha a forma de pagamento conforme a operação e finalize o pedido.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Acompanhe o envio para produção e informe a senha ao cliente quando o atendimento usar chamada.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A5B00"/>
                <w:sz w:val="22"/>
              </w:rPr>
              <w:t>SENHA NÃO É NÚMERO DO PEDIDO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O MiseOn trata a senha de chamada separadamente. Delivery não usa essa senha, e identificadores externos não devem ser gravados como número interno do pedido.</w:t>
            </w:r>
          </w:p>
        </w:tc>
      </w:tr>
    </w:tbl>
    <w:p>
      <w:pPr>
        <w:keepNext/>
        <w:widowControl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6298710" cy="3063240"/>
            <wp:docPr id="4" name="Picture 4" descr="Tela real do PDV de balcão: produtos, categorias e resumo do pedido na mesma área." title="Pdv Balca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v-bal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871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iseOn"/>
        <w:widowControl/>
        <w:spacing w:line="276" w:lineRule="auto" w:after="120"/>
        <w:jc w:val="center"/>
      </w:pPr>
      <w:r>
        <w:rPr>
          <w:rFonts w:ascii="Manrope" w:hAnsi="Manrope" w:eastAsia="Manrope" w:cs="Manrope"/>
          <w:sz w:val="25"/>
        </w:rPr>
        <w:t>Tela de referência do PDV. Na auditoria de produção de 20/09/2026, a loja de teste tinha 17 produtos, mas o PDV exibiu lista vazia; não liberar sem reteste.</w:t>
      </w:r>
    </w:p>
    <w:p>
      <w:pPr>
        <w:pStyle w:val="Heading1"/>
        <w:keepNext/>
        <w:widowControl/>
      </w:pPr>
      <w:r>
        <w:rPr>
          <w:rFonts w:ascii="Sora" w:hAnsi="Sora" w:eastAsia="Sora" w:cs="Sora"/>
          <w:sz w:val="44"/>
        </w:rPr>
        <w:t>04  Salão: mesas, comandas, garçom e QR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Organize o atendimento por mesa e deixe o pedido chegar ao mesmo fluxo da cozinha.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Abrir e acompanhar uma mesa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Abra o mapa de mesas e escolha uma mesa livre.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Identifique a comanda ou o responsável quando a operação exigir.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Lance itens pelo painel ou pela comanda móvel do garçom.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Acompanhe total, chamados e situação da mesa durante o atendimento.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Antes de encerrar, revise itens, taxa de serviço e forma de pagamento.</w:t>
            </w:r>
          </w:p>
        </w:tc>
      </w:tr>
    </w:tbl>
    <w:p>
      <w:pPr>
        <w:widowControl/>
        <w:spacing w:after="120" w:line="276" w:lineRule="auto"/>
      </w:pPr>
    </w:p>
    <w:p>
      <w:pPr>
        <w:keepNext/>
        <w:widowControl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6400800" cy="2731591"/>
            <wp:docPr id="5" name="Picture 5" descr="Tela real do mapa de mesas: situação visual, comandas e ações do salão." title="Mapa Mes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-mes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1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iseOn"/>
        <w:widowControl/>
        <w:spacing w:line="276" w:lineRule="auto" w:after="120"/>
        <w:jc w:val="center"/>
      </w:pPr>
      <w:r>
        <w:rPr>
          <w:rFonts w:ascii="Manrope" w:hAnsi="Manrope" w:eastAsia="Manrope" w:cs="Manrope"/>
          <w:sz w:val="25"/>
        </w:rPr>
        <w:t>Tela real do mapa de mesas: situação visual, comandas e ações do salão.</w:t>
      </w:r>
    </w:p>
    <w:p>
      <w:pPr>
        <w:pStyle w:val="Heading2"/>
        <w:keepNext/>
        <w:pageBreakBefore/>
        <w:widowControl/>
      </w:pPr>
      <w:r>
        <w:rPr>
          <w:rFonts w:ascii="Sora" w:hAnsi="Sora" w:eastAsia="Sora" w:cs="Sora"/>
          <w:sz w:val="32"/>
        </w:rPr>
        <w:t>Autoatendimento por QR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Gere ou consulte o QR individual da mesa no módulo de mesas.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Posicione o QR de forma que o cliente consiga ler sem confundir a mesa.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O cliente abre o cardápio pelo token da mesa e envia o pedido pelo fluxo permitido.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 equipe acompanha o pedido na operação e atende chamados quando necessário.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1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004198"/>
                <w:sz w:val="22"/>
              </w:rPr>
              <w:t>SEGURANÇA DO QR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O pedido de mesa exige o token do QR. Não reutilize uma imagem de QR em outra mesa e regenere quando houver suspeita de cópia indevida.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Comanda móvel do garçom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mostra mesas e comandas que o usuário pode operar;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permite lançar itens, adicionais e observações;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mantém o pedido ligado ao catálogo e à mesa;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pode apoiar rotinas específicas, como fechamento de buffet, conforme a configuração da loja.</w:t>
      </w:r>
    </w:p>
    <w:p>
      <w:pPr>
        <w:pStyle w:val="Heading1"/>
        <w:keepNext/>
        <w:widowControl/>
      </w:pPr>
      <w:r>
        <w:rPr>
          <w:rFonts w:ascii="Sora" w:hAnsi="Sora" w:eastAsia="Sora" w:cs="Sora"/>
          <w:sz w:val="44"/>
        </w:rPr>
        <w:t>05  KDS e produção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Transforme pedidos em uma fila visual de preparo e expedição.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Operar o KDS no turno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Abra a estação correta antes de iniciar o atendimento.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Leia canal, horário, itens e observações antes de começar o preparo.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Mova o cartão apenas quando a etapa realmente mudar: recebido, em preparo, pronto ou concluído.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Use prioridade e alertas conforme a política da operação, sem apagar observações do pedido.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Na expedição, confirme se todos os itens do pedido estão prontos antes de liberar.</w:t>
            </w:r>
          </w:p>
        </w:tc>
      </w:tr>
    </w:tbl>
    <w:p>
      <w:pPr>
        <w:widowControl/>
        <w:spacing w:after="120" w:line="276" w:lineRule="auto"/>
      </w:pPr>
    </w:p>
    <w:p>
      <w:pPr>
        <w:keepNext/>
        <w:widowControl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6400800" cy="2447364"/>
            <wp:docPr id="6" name="Picture 6" descr="Esquema do KDS atual, validado na sessão autenticada: estações Cozinha, Bar e Expedição; fluxo Fila de Entrada → Em Preparo → Expedição." title="Kds Atual Esque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ds-atual-esquem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iseOn"/>
        <w:widowControl/>
        <w:spacing w:line="276" w:lineRule="auto" w:after="120"/>
        <w:jc w:val="center"/>
      </w:pPr>
      <w:r>
        <w:rPr>
          <w:rFonts w:ascii="Manrope" w:hAnsi="Manrope" w:eastAsia="Manrope" w:cs="Manrope"/>
          <w:sz w:val="25"/>
        </w:rPr>
        <w:t>Esquema do KDS atual, validado na sessão autenticada: estações Cozinha, Bar e Expedição; fluxo Fila de Entrada → Em Preparo → Expedição.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A5B00"/>
                <w:sz w:val="22"/>
              </w:rPr>
              <w:t>FIM DE PEDIDO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Pedido FINALIZADO é terminal. Não tente usar a finalização como movimento temporário; corrija a etapa antes de concluir.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Produção e fichas</w:t>
      </w:r>
    </w:p>
    <w:p>
      <w:pPr>
        <w:widowControl/>
        <w:spacing w:line="276" w:lineRule="auto" w:after="120"/>
      </w:pPr>
      <w:r>
        <w:rPr>
          <w:rFonts w:ascii="Manrope" w:hAnsi="Manrope" w:eastAsia="Manrope" w:cs="Manrope"/>
          <w:i w:val="0"/>
          <w:sz w:val="25"/>
        </w:rPr>
        <w:t>A área de produção liga preparos, rendimento e consumo de insumos. Ela é a base para custos coerentes quando a cozinha transforma ingredientes antes da venda.</w:t>
      </w:r>
    </w:p>
    <w:p>
      <w:pPr>
        <w:keepNext/>
        <w:widowControl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3283521" cy="4251960"/>
            <wp:docPr id="7" name="Picture 7" descr="Tela real de fichas técnicas e preparos: composição, rendimento e custo calculado." title="Fichas Tecnicas Prepar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s-tecnicas-prepar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3521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iseOn"/>
        <w:widowControl/>
        <w:spacing w:line="276" w:lineRule="auto" w:after="120"/>
        <w:jc w:val="center"/>
      </w:pPr>
      <w:r>
        <w:rPr>
          <w:rFonts w:ascii="Manrope" w:hAnsi="Manrope" w:eastAsia="Manrope" w:cs="Manrope"/>
          <w:sz w:val="25"/>
        </w:rPr>
        <w:t>Tela real de fichas técnicas e preparos: composição, rendimento e custo calculado.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registre a quantidade realmente usada na receita;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cadastre o rendimento depois de preparo, perda ou ganho de peso;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use preparos intermediários quando uma receita depende de outra;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mantenha gás e mão de obra na ordem de serviço, não no custo do lote de ingrediente.</w:t>
      </w:r>
    </w:p>
    <w:p>
      <w:pPr>
        <w:pStyle w:val="Heading1"/>
        <w:keepNext/>
        <w:widowControl/>
      </w:pPr>
      <w:r>
        <w:rPr>
          <w:rFonts w:ascii="Sora" w:hAnsi="Sora" w:eastAsia="Sora" w:cs="Sora"/>
          <w:sz w:val="44"/>
        </w:rPr>
        <w:t>06  Delivery, retirada e expedição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Acompanhe pedidos até a saída e mantenha o status coerente com a realidade.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Confirme nome, telefone, tipo de atendimento e endereço antes de liberar o pedido.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Revise pagamento e troco quando houver.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Acompanhe preparo, pronto para retirada, saída e conclusão.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Registre o entregador ou a rota quando esse recurso estiver em uso.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Finalize somente quando a entrega ou retirada estiver confirmada.</w:t>
            </w:r>
          </w:p>
        </w:tc>
      </w:tr>
    </w:tbl>
    <w:p>
      <w:pPr>
        <w:widowControl/>
        <w:spacing w:after="120" w:line="276" w:lineRule="auto"/>
      </w:pPr>
    </w:p>
    <w:p>
      <w:pPr>
        <w:keepNext/>
        <w:widowControl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50406"/>
            <wp:docPr id="8" name="Picture 8" descr="Tela real de entregas: pedidos, situação e apoio visual de rota." title="Entregas G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egas-g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iseOn"/>
        <w:widowControl/>
        <w:spacing w:line="276" w:lineRule="auto" w:after="120"/>
        <w:jc w:val="center"/>
      </w:pPr>
      <w:r>
        <w:rPr>
          <w:rFonts w:ascii="Manrope" w:hAnsi="Manrope" w:eastAsia="Manrope" w:cs="Manrope"/>
          <w:sz w:val="25"/>
        </w:rPr>
        <w:t>Tela real de entregas: pedidos, situação e apoio visual de rota.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1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004198"/>
                <w:sz w:val="22"/>
              </w:rPr>
              <w:t>PREÇO DE CANAL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Pedidos recebidos de canais externos podem trazer preço próprio, inclusive markup. Não substitua automaticamente pelo preço do catálogo interno.</w:t>
            </w:r>
          </w:p>
        </w:tc>
      </w:tr>
    </w:tbl>
    <w:p>
      <w:pPr>
        <w:pStyle w:val="Heading1"/>
        <w:keepNext/>
        <w:widowControl/>
      </w:pPr>
      <w:r>
        <w:rPr>
          <w:rFonts w:ascii="Sora" w:hAnsi="Sora" w:eastAsia="Sora" w:cs="Sora"/>
          <w:sz w:val="44"/>
        </w:rPr>
        <w:t>07  Cardápio digital e checkout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Cadastre com clareza o que o cliente vê e revise a experiência até o pagamento.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Preparar o cardápio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Organize categorias na ordem em que o cliente deve navegar.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Cadastre nome, descrição, preço, imagem e disponibilidade do produto.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Configure tamanhos, adicionais, limites e itens obrigatórios.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Preencha informações de alergênicos e nutrição apenas quando houver base confiável.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Faça um pedido de ponta a ponta antes de divulgar o link.</w:t>
            </w:r>
          </w:p>
        </w:tc>
      </w:tr>
    </w:tbl>
    <w:p>
      <w:pPr>
        <w:widowControl/>
        <w:spacing w:after="120" w:line="276" w:lineRule="auto"/>
      </w:pPr>
    </w:p>
    <w:p>
      <w:pPr>
        <w:keepNext/>
        <w:widowControl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0381"/>
            <wp:docPr id="9" name="Picture 9" descr="Tela real do cardápio digital: categorias, busca e produtos disponíveis." title="Cardapio Digital Os Mais Pedi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apio-digital-os-mais-pedid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0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iseOn"/>
        <w:widowControl/>
        <w:spacing w:line="276" w:lineRule="auto" w:after="120"/>
        <w:jc w:val="center"/>
      </w:pPr>
      <w:r>
        <w:rPr>
          <w:rFonts w:ascii="Manrope" w:hAnsi="Manrope" w:eastAsia="Manrope" w:cs="Manrope"/>
          <w:sz w:val="25"/>
        </w:rPr>
        <w:t>Tela real do cardápio digital: categorias, busca e produtos disponíveis.</w:t>
      </w:r>
    </w:p>
    <w:p>
      <w:pPr>
        <w:keepNext/>
        <w:widowControl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3789666" cy="4251960"/>
            <wp:docPr id="10" name="Picture 10" descr="Tela real do detalhe do produto: informações e alertas exibidos ao cliente." title="Cardapio Modal Alergenic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apio-modal-alergenic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9666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iseOn"/>
        <w:widowControl/>
        <w:spacing w:line="276" w:lineRule="auto" w:after="120"/>
        <w:jc w:val="center"/>
      </w:pPr>
      <w:r>
        <w:rPr>
          <w:rFonts w:ascii="Manrope" w:hAnsi="Manrope" w:eastAsia="Manrope" w:cs="Manrope"/>
          <w:sz w:val="25"/>
        </w:rPr>
        <w:t>Tela real do detalhe do produto: informações e alertas exibidos ao cliente.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Revisar o checkout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Confira itens, quantidades e adicionais no carrinho.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Escolha consumo, retirada ou entrega conforme as opções disponíveis.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Preencha identificação, endereço e pagamento.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Revise totais e condições antes de enviar o pedido.</w:t>
            </w:r>
          </w:p>
        </w:tc>
      </w:tr>
    </w:tbl>
    <w:p>
      <w:pPr>
        <w:widowControl/>
        <w:spacing w:after="120" w:line="276" w:lineRule="auto"/>
      </w:pPr>
    </w:p>
    <w:p>
      <w:pPr>
        <w:keepNext/>
        <w:widowControl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2641688" cy="4251960"/>
            <wp:docPr id="11" name="Picture 11" descr="Tela real de checkout: resumo, pagamento e conclusão do pedido." title="Cardapio Checkout Pix Cashbac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apio-checkout-pix-cashbac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1688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iseOn"/>
        <w:widowControl/>
        <w:spacing w:line="276" w:lineRule="auto" w:after="120"/>
        <w:jc w:val="center"/>
      </w:pPr>
      <w:r>
        <w:rPr>
          <w:rFonts w:ascii="Manrope" w:hAnsi="Manrope" w:eastAsia="Manrope" w:cs="Manrope"/>
          <w:sz w:val="25"/>
        </w:rPr>
        <w:t>Tela real de checkout: resumo, pagamento e conclusão do pedido.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B1C1C"/>
                <w:sz w:val="22"/>
              </w:rPr>
              <w:t>ALERGIAS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 informação cadastrada ajuda, mas não substitui o protocolo da cozinha. Em dúvida, o atendimento deve transferir a conversa para uma pessoa e confirmar contaminação cruzada.</w:t>
            </w:r>
          </w:p>
        </w:tc>
      </w:tr>
    </w:tbl>
    <w:p>
      <w:pPr>
        <w:pStyle w:val="Heading1"/>
        <w:keepNext/>
        <w:widowControl/>
      </w:pPr>
      <w:r>
        <w:rPr>
          <w:rFonts w:ascii="Sora" w:hAnsi="Sora" w:eastAsia="Sora" w:cs="Sora"/>
          <w:sz w:val="44"/>
        </w:rPr>
        <w:t>08  Estoque, entrada fiscal e rastreabilidade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Alimente o custo com unidades, embalagens e entradas coerentes.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Cadastrar um insumo corretamente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Defina nome, unidade de compra e unidade usada na receita.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Informe quantas unidades ou quanto peso existe em cada embalagem.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Registre entradas com fornecedor, quantidade e valor do documento.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Revise a origem da quantidade por embalagem; uma correção do usuário não deve ser sobrescrita por leitura automática.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Acompanhe movimentações e saldo, investigando ajustes manuais fora do padrão.</w:t>
            </w:r>
          </w:p>
        </w:tc>
      </w:tr>
    </w:tbl>
    <w:p>
      <w:pPr>
        <w:widowControl/>
        <w:spacing w:after="120" w:line="276" w:lineRule="auto"/>
      </w:pPr>
    </w:p>
    <w:p>
      <w:pPr>
        <w:keepNext/>
        <w:widowControl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6400800" cy="3331666"/>
            <wp:docPr id="12" name="Picture 12" descr="Tela real do estoque com opções de leitura de NFC-e por QR e importação de XML." title="Estoque Cupom Nf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que-cupom-nf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1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iseOn"/>
        <w:widowControl/>
        <w:spacing w:line="276" w:lineRule="auto" w:after="120"/>
        <w:jc w:val="center"/>
      </w:pPr>
      <w:r>
        <w:rPr>
          <w:rFonts w:ascii="Manrope" w:hAnsi="Manrope" w:eastAsia="Manrope" w:cs="Manrope"/>
          <w:sz w:val="25"/>
        </w:rPr>
        <w:t>Tela real do estoque com opções de leitura de NFC-e por QR e importação de XML.</w:t>
      </w:r>
    </w:p>
    <w:p>
      <w:pPr>
        <w:pStyle w:val="Heading2"/>
        <w:keepNext/>
        <w:pageBreakBefore/>
        <w:widowControl/>
      </w:pPr>
      <w:r>
        <w:rPr>
          <w:rFonts w:ascii="Sora" w:hAnsi="Sora" w:eastAsia="Sora" w:cs="Sora"/>
          <w:sz w:val="32"/>
        </w:rPr>
        <w:t>Importar NFC-e ou XML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Abra a entrada fiscal pelo estoque.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Leia o QR da NFC-e ou selecione o XML disponível.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Confira fornecedor, itens, quantidades, unidade e valor antes de confirmar.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Vincule cada linha ao insumo correto e confira a conversão mostrada: unidade da nota → unidade do estoque → quantidade final → custo por unidade. Conversão não comprovada deve ficar bloqueada até confirmação.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Conclua a entrada e revise o histórico de movimentações.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A5B00"/>
                <w:sz w:val="22"/>
              </w:rPr>
              <w:t>QUANTIDADE POR EMBALAGEM</w:t>
            </w:r>
          </w:p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color w:val="070C18"/>
                <w:sz w:val="22"/>
              </w:rPr>
              <w:t>A quantidade por embalagem e o fator de conversão decidem o custo. Exemplo: 1 kg = 1.000 g. Fator 1 nesse caso multiplica o custo por grama em 1.000 vezes. A correção local bloqueia fator desconhecido; publique-a antes de importar novas notas e reconcilie lotes antigos separadamente.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Custeio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o sistema pode usar lotes e PEPS para refletir entradas diferentes;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preparo pode herdar custo das fichas abaixo dele, até o limite implementado;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margem incerta pode permanecer vazia com uma justificativa;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não corrija um custo apenas para fazer a margem parecer melhor.</w:t>
      </w:r>
    </w:p>
    <w:p>
      <w:pPr>
        <w:pStyle w:val="Heading1"/>
        <w:keepNext/>
        <w:widowControl/>
      </w:pPr>
      <w:r>
        <w:rPr>
          <w:rFonts w:ascii="Sora" w:hAnsi="Sora" w:eastAsia="Sora" w:cs="Sora"/>
          <w:sz w:val="44"/>
        </w:rPr>
        <w:t>09  Compras e fornecedores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Transforme necessidade de reposição em cotação, pedido e entrada rastreável.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Revise alertas de estoque e necessidade de compra.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Crie a solicitação com insumos, quantidades e prazo.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Compare cotações considerando unidade e conteúdo da embalagem, não apenas o preço total.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Aprove o fornecedor conforme a regra interna da loja.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Na chegada, confira o documento e registre a entrada fiscal/estoque.</w:t>
            </w:r>
          </w:p>
        </w:tc>
      </w:tr>
    </w:tbl>
    <w:p>
      <w:pPr>
        <w:widowControl/>
        <w:spacing w:after="120" w:line="276" w:lineRule="auto"/>
      </w:pPr>
    </w:p>
    <w:p>
      <w:pPr>
        <w:keepNext/>
        <w:widowControl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6400800" cy="2806600"/>
            <wp:docPr id="13" name="Picture 13" descr="Tela real da Central de Compras: acompanhamento de solicitações e cotações." title="Central Compr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al-compr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iseOn"/>
        <w:widowControl/>
        <w:spacing w:line="276" w:lineRule="auto" w:after="120"/>
        <w:jc w:val="center"/>
      </w:pPr>
      <w:r>
        <w:rPr>
          <w:rFonts w:ascii="Manrope" w:hAnsi="Manrope" w:eastAsia="Manrope" w:cs="Manrope"/>
          <w:sz w:val="25"/>
        </w:rPr>
        <w:t>Tela real da Central de Compras: acompanhamento de solicitações e cotações.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1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004198"/>
                <w:sz w:val="22"/>
              </w:rPr>
              <w:t>COMPARAÇÃO CORRETA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Duas embalagens com preços diferentes só podem ser comparadas depois de normalizar quantidade e unidade. Um pacote mais barato pode ter custo unitário maior.</w:t>
            </w:r>
          </w:p>
        </w:tc>
      </w:tr>
    </w:tbl>
    <w:p>
      <w:pPr>
        <w:pStyle w:val="Heading1"/>
        <w:keepNext/>
        <w:widowControl/>
      </w:pPr>
      <w:r>
        <w:rPr>
          <w:rFonts w:ascii="Sora" w:hAnsi="Sora" w:eastAsia="Sora" w:cs="Sora"/>
          <w:sz w:val="44"/>
        </w:rPr>
        <w:t>10  Financeiro, custos e DRE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Use os números compatíveis com a qualidade dos dados e respeite o status demonstrativo da DRE.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O que conferir antes de analisar margem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entradas e compras registradas;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embalagens e unidades revisadas;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fichas técnicas completas;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rendimento coerente com a produção;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custos fixos e período de análise definidos;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vendas e cancelamentos no período correto.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B1C1C"/>
                <w:sz w:val="22"/>
              </w:rPr>
              <w:t>DRE DEMONSTRATIVA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Na versão auditada em 20/09/2026, a tela de DRE usa mês e valores fixos no código. Ela serve para visualizar o formato, não para apurar resultado real, tomar decisão contábil ou comprovar lucro.</w:t>
            </w:r>
          </w:p>
        </w:tc>
      </w:tr>
    </w:tbl>
    <w:p>
      <w:pPr>
        <w:widowControl/>
        <w:spacing w:after="120" w:line="276" w:lineRule="auto"/>
      </w:pPr>
    </w:p>
    <w:p>
      <w:pPr>
        <w:keepNext/>
        <w:widowControl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3544736" cy="1938528"/>
            <wp:docPr id="14" name="Picture 14" descr="Tela demonstrativa de DRE. Os valores exibidos nesta captura não representam uma apuração real da loja." title="Dre Financei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e-financeir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4736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iseOn"/>
        <w:widowControl/>
        <w:spacing w:line="276" w:lineRule="auto" w:after="120"/>
        <w:jc w:val="center"/>
      </w:pPr>
      <w:r>
        <w:rPr>
          <w:rFonts w:ascii="Manrope" w:hAnsi="Manrope" w:eastAsia="Manrope" w:cs="Manrope"/>
          <w:sz w:val="25"/>
        </w:rPr>
        <w:t>Tela demonstrativa de DRE. Os valores exibidos nesta captura não representam uma apuração real da loja.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Leitura responsável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Escolha o período correto e confirme se a tela está marcada como demonstrativa ou operacional.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Concilie receita com pedidos válidos e formas de pagamento.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Confirme se custo e margem são considerados confiáveis pelo sistema.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Investigue divergências antes de compartilhar qualquer indicador.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Use o contador e os documentos fiscais para obrigações legais.</w:t>
            </w:r>
          </w:p>
        </w:tc>
      </w:tr>
    </w:tbl>
    <w:p>
      <w:pPr>
        <w:pStyle w:val="Heading1"/>
        <w:keepNext/>
        <w:pageBreakBefore w:val="0"/>
        <w:widowControl/>
      </w:pPr>
      <w:r>
        <w:rPr>
          <w:rFonts w:ascii="Sora" w:hAnsi="Sora" w:eastAsia="Sora" w:cs="Sora"/>
          <w:sz w:val="44"/>
        </w:rPr>
        <w:t>11  WhatsApp com IA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Conecte atendimento e cardápio sem esconder quando a conversa precisa de uma pessoa.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A5B00"/>
                <w:sz w:val="22"/>
              </w:rPr>
              <w:t>REQUER CONFIGURAÇÃO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É necessário conectar um número e concluir as configurações do canal. A existência do módulo não significa que o WhatsApp esteja ativo para todas as lojas.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B1C1C"/>
                <w:sz w:val="22"/>
              </w:rPr>
              <w:t>ESTADO VERIFICADO EM 20/09/2026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Na loja de demonstração Lanche do Paulista, o módulo está DESCONECTADO e informa que nenhum número está conectado. Uma captura antiga que mostrava CONECTADO foi descartada deste manual.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O que a implementação permite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consultar categorias, produtos, preço e disponibilidade configurados;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responder perguntas sobre o cardápio;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enviar um link de pedido com atribuição do atendimento;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considerar informações de entrega disponíveis;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transferir para atendimento humano, especialmente em assuntos sensíveis.</w:t>
      </w:r>
    </w:p>
    <w:p>
      <w:pPr>
        <w:keepNext/>
        <w:widowControl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86990" cy="1645920"/>
            <wp:docPr id="15" name="Picture 15" descr="Resumo dos estados observados na sessão autenticada. É uma síntese auditada, não uma captura da interface." title="Integracoes Status Verifi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coes-status-verifica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699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iseOn"/>
        <w:widowControl/>
        <w:spacing w:line="276" w:lineRule="auto" w:after="120"/>
        <w:jc w:val="center"/>
      </w:pPr>
      <w:r>
        <w:rPr>
          <w:rFonts w:ascii="Manrope" w:hAnsi="Manrope" w:eastAsia="Manrope" w:cs="Manrope"/>
          <w:sz w:val="25"/>
        </w:rPr>
        <w:t>Resumo dos estados observados na sessão autenticada. É uma síntese auditada, não uma captura da 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B1C1C"/>
                <w:sz w:val="22"/>
              </w:rPr>
              <w:t>LIMITE DE SEGURANÇA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 IA não deve confirmar ausência de alergênico ou contaminação cruzada sem validação humana. Quando houver risco, transfira a conversa.</w:t>
            </w:r>
          </w:p>
        </w:tc>
      </w:tr>
    </w:tbl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Configuração segura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Use um número dedicado à operação quando possível.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Conecte o canal e confirme o estado exibido no painel.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Revise o cardápio e a disponibilidade antes de liberar respostas automáticas.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Defina quando a IA deve chamar uma pessoa e quem assume o atendimento.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Faça testes com produto indisponível, alergia, endereço e link de pedido.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1"/>
        <w:keepNext/>
        <w:pageBreakBefore w:val="0"/>
        <w:widowControl/>
      </w:pPr>
      <w:r>
        <w:rPr>
          <w:rFonts w:ascii="Sora" w:hAnsi="Sora" w:eastAsia="Sora" w:cs="Sora"/>
          <w:sz w:val="44"/>
        </w:rPr>
        <w:t>12  iFood e canais externos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Mantenha preço, identificadores e estado do pedido coerentes com o canal de origem.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A5B00"/>
                <w:sz w:val="22"/>
              </w:rPr>
              <w:t>REQUER ATIVAÇÃO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 integração está implementada no sistema, mas depende de onboarding e conexão da loja. Confirme o estado antes de anunciar que o canal está ativo.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B1C1C"/>
                <w:sz w:val="22"/>
              </w:rPr>
              <w:t>ESTADO VERIFICADO EM 20/09/2026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Na loja de demonstração, a conta aparece VINCULADA, SEM RECEBER. A própria tela informa que o aplicativo do MiseOn ainda não recebeu os módulos necessários no Portal do Desenvolvedor do iFood e registra HTTP 403. Não há pedido entrando.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Abra a integração e inicie o onboarding autorizado.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Confirme a loja vinculada e as permissões concedidas.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Faça um pedido controlado e acompanhe sua entrada na operação.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Preserve o preço recebido do canal, inclusive markup aplicável.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Mantenha o identificador externo separado do número e da senha internos.</w:t>
            </w:r>
          </w:p>
        </w:tc>
      </w:tr>
    </w:tbl>
    <w:p>
      <w:pPr>
        <w:pStyle w:val="Heading1"/>
        <w:keepNext/>
        <w:widowControl/>
      </w:pPr>
      <w:r>
        <w:rPr>
          <w:rFonts w:ascii="Sora" w:hAnsi="Sora" w:eastAsia="Sora" w:cs="Sora"/>
          <w:sz w:val="44"/>
        </w:rPr>
        <w:t>13  Fiscal: importação e emissão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Separe entrada de documento fiscal da emissão e valide cada ambiente.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Entrada fiscal</w:t>
      </w:r>
    </w:p>
    <w:p>
      <w:pPr>
        <w:widowControl/>
        <w:spacing w:line="276" w:lineRule="auto" w:after="120"/>
      </w:pPr>
      <w:r>
        <w:rPr>
          <w:rFonts w:ascii="Manrope" w:hAnsi="Manrope" w:eastAsia="Manrope" w:cs="Manrope"/>
          <w:i w:val="0"/>
          <w:sz w:val="25"/>
        </w:rPr>
        <w:t>A importação por QR de NFC-e ou XML é usada para apoiar a entrada de estoque. Sempre confira os itens e os vínculos antes de confirmar.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Emissão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A5B00"/>
                <w:sz w:val="22"/>
              </w:rPr>
              <w:t>REQUER CONFIGURAÇÃO E HOMOLOGAÇÃO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 emissão depende de credenciais, CSC/certificado, dados fiscais, ambiente e regras da UF. Não use uma venda real como primeiro teste.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B1C1C"/>
                <w:sz w:val="22"/>
              </w:rPr>
              <w:t>ESTADO VERIFICADO EM 20/09/2026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Na loja de demonstração, o módulo fiscal mostra zero notas, nenhum certificado A1 configurado e ambiente de homologação. Portanto, esta auditoria não encontrou prova de emissão fiscal ativa em produção.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Preencha os dados fiscais da empresa com apoio contábil.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Cadastre certificado e CSC conforme o ambiente e a UF.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Revise NCM, CFOP, CSOSN/CST e demais regras dos produtos.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Teste em ambiente apropriado antes de emitir em produção.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Acompanhe autorização, rejeição, contingência e cancelamento pelo status retornado.</w:t>
            </w:r>
          </w:p>
        </w:tc>
      </w:tr>
    </w:tbl>
    <w:p>
      <w:pPr>
        <w:widowControl/>
        <w:spacing w:after="12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04"/>
            <w:shd w:fill="0041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Situação</w:t>
            </w:r>
          </w:p>
        </w:tc>
        <w:tc>
          <w:tcPr>
            <w:tcW w:type="dxa" w:w="7632"/>
            <w:shd w:fill="0041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Ação</w:t>
            </w:r>
          </w:p>
        </w:tc>
      </w:tr>
      <w:tr>
        <w:trPr>
          <w:cantSplit/>
        </w:trPr>
        <w:tc>
          <w:tcPr>
            <w:tcW w:type="dxa" w:w="2304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Autorizada</w:t>
            </w:r>
          </w:p>
        </w:tc>
        <w:tc>
          <w:tcPr>
            <w:tcW w:type="dxa" w:w="7632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Guarde XML e representação conforme a política fiscal.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Rejeitada</w:t>
            </w:r>
          </w:p>
        </w:tc>
        <w:tc>
          <w:tcPr>
            <w:tcW w:type="dxa" w:w="76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Leia o motivo, corrija o cadastro e reenvie quando permitido.</w:t>
            </w:r>
          </w:p>
        </w:tc>
      </w:tr>
      <w:tr>
        <w:trPr>
          <w:cantSplit/>
        </w:trPr>
        <w:tc>
          <w:tcPr>
            <w:tcW w:type="dxa" w:w="2304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Pendente/sem resposta</w:t>
            </w:r>
          </w:p>
        </w:tc>
        <w:tc>
          <w:tcPr>
            <w:tcW w:type="dxa" w:w="7632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Não duplique a emissão; consulte o status antes de tentar novamente.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Cancelamento</w:t>
            </w:r>
          </w:p>
        </w:tc>
        <w:tc>
          <w:tcPr>
            <w:tcW w:type="dxa" w:w="76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Use apenas dentro das regras e do prazo aplicáveis.</w:t>
            </w:r>
          </w:p>
        </w:tc>
      </w:tr>
    </w:tbl>
    <w:p>
      <w:pPr>
        <w:pStyle w:val="Heading1"/>
        <w:keepNext/>
        <w:pageBreakBefore w:val="0"/>
        <w:widowControl/>
      </w:pPr>
      <w:r>
        <w:rPr>
          <w:rFonts w:ascii="Sora" w:hAnsi="Sora" w:eastAsia="Sora" w:cs="Sora"/>
          <w:sz w:val="44"/>
        </w:rPr>
        <w:t>14  Marketing e relacionamento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Use ferramentas de campanha sem inventar resultado, cliente ou prova social.</w:t>
      </w:r>
    </w:p>
    <w:p>
      <w:pPr>
        <w:keepNext/>
        <w:widowControl/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6400800" cy="2362795"/>
            <wp:docPr id="16" name="Picture 16" descr="Tela real da área de marketing e relacionamento." title="Marke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6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iseOn"/>
        <w:widowControl/>
        <w:spacing w:line="276" w:lineRule="auto" w:after="120"/>
        <w:jc w:val="center"/>
      </w:pPr>
      <w:r>
        <w:rPr>
          <w:rFonts w:ascii="Manrope" w:hAnsi="Manrope" w:eastAsia="Manrope" w:cs="Manrope"/>
          <w:sz w:val="25"/>
        </w:rPr>
        <w:t>Tela real da área de marketing e relacionamento.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Defina o público e o objetivo da ação.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Revise consentimento e canal permitido antes do envio.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Escreva uma oferta clara, com prazo e condições verificáveis.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Use links identificados para medir a origem sem expor dados pessoais.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Analise eventos reais; não transforme estimativa em resultado publicado.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B1C1C"/>
                <w:sz w:val="22"/>
              </w:rPr>
              <w:t>PROVA SOCIAL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Enquanto não houver cliente pagante comprovado e autorização, não publique depoimentos, logotipos de lojas, contagem de restaurantes ou percentuais de resultado.</w:t>
            </w:r>
          </w:p>
        </w:tc>
      </w:tr>
    </w:tbl>
    <w:p>
      <w:pPr>
        <w:pStyle w:val="Heading1"/>
        <w:keepNext/>
        <w:widowControl/>
      </w:pPr>
      <w:r>
        <w:rPr>
          <w:rFonts w:ascii="Sora" w:hAnsi="Sora" w:eastAsia="Sora" w:cs="Sora"/>
          <w:sz w:val="44"/>
        </w:rPr>
        <w:t>15  Equipe, configurações e assinatura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Dê a cada pessoa o acesso necessário e mantenha a operação identificável.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Equipe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1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004198"/>
                <w:sz w:val="22"/>
              </w:rPr>
              <w:t>PRIVACIDADE PRESERVADA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As telas autenticadas de equipe e assinatura foram conferidas, mas não são reproduzidas aqui porque exibem dados pessoais e campos de pagamento.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Crie um acesso individual por usuário e senha ou envie o convite por e-mail.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Atribua o papel mínimo necessário: Admin, Balcão, Garçom ou Entregador.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Remova ou ajuste o acesso quando a pessoa mudar de função ou sair.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</w:trPr>
        <w:tc>
          <w:tcPr>
            <w:tcW w:type="dxa" w:w="835"/>
            <w:shd w:fill="00419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5F8FC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Em contas multiunidade, confirme a loja ativa antes de editar configurações.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Configurações essenciais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Aparência e Identidade;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Segmento &amp; Módulos;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Entrega e Cobertura;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Horários e Pagamentos;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Telas e TV;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Fiscal (NFC-e) e Integrações (iFood).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Assinatura</w:t>
      </w:r>
    </w:p>
    <w:p>
      <w:pPr>
        <w:widowControl/>
        <w:spacing w:line="276" w:lineRule="auto" w:after="120"/>
      </w:pPr>
      <w:r>
        <w:rPr>
          <w:rFonts w:ascii="Manrope" w:hAnsi="Manrope" w:eastAsia="Manrope" w:cs="Manrope"/>
          <w:i w:val="0"/>
          <w:sz w:val="25"/>
        </w:rPr>
        <w:t>Consulte a área de assinatura para plano, ciclo e situação exibidos na conta. Em 20/09/2026, a tela mostrava R$ 149,90/mês no plano anual, R$ 169,90/mês no mensal e 5% de desconto no Pix do anual. Valores comerciais podem mudar; o painel e a página oficial de contratação são a referência vigente.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1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004198"/>
                <w:sz w:val="22"/>
              </w:rPr>
              <w:t>TROCA DE LOJA</w:t>
            </w:r>
          </w:p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color w:val="070C18"/>
                <w:sz w:val="22"/>
              </w:rPr>
              <w:t>O seletor troca vínculos já existentes. Ele não cria a segunda unidade. Solicite configuração assistida e confirme a loja ativa antes de editar qualquer cadastro.</w:t>
            </w:r>
          </w:p>
        </w:tc>
      </w:tr>
    </w:tbl>
    <w:p>
      <w:pPr>
        <w:pStyle w:val="Heading1"/>
        <w:keepNext/>
        <w:widowControl/>
      </w:pPr>
      <w:r>
        <w:rPr>
          <w:rFonts w:ascii="Sora" w:hAnsi="Sora" w:eastAsia="Sora" w:cs="Sora"/>
          <w:sz w:val="44"/>
        </w:rPr>
        <w:t>16  Rotinas diárias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Checklists curtos para abrir, operar e fechar o turno.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Abertura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color w:val="FC5B24"/>
          <w:sz w:val="24"/>
        </w:rPr>
        <w:t xml:space="preserve">☐ </w:t>
      </w:r>
      <w:r>
        <w:rPr>
          <w:rFonts w:ascii="Manrope" w:hAnsi="Manrope" w:eastAsia="Manrope" w:cs="Manrope"/>
          <w:sz w:val="24"/>
        </w:rPr>
        <w:t>Confirmar loja e usuário ativos.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color w:val="FC5B24"/>
          <w:sz w:val="24"/>
        </w:rPr>
        <w:t xml:space="preserve">☐ </w:t>
      </w:r>
      <w:r>
        <w:rPr>
          <w:rFonts w:ascii="Manrope" w:hAnsi="Manrope" w:eastAsia="Manrope" w:cs="Manrope"/>
          <w:sz w:val="24"/>
        </w:rPr>
        <w:t>Conferir caixa, formas de pagamento e conectividade.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color w:val="FC5B24"/>
          <w:sz w:val="24"/>
        </w:rPr>
        <w:t xml:space="preserve">☐ </w:t>
      </w:r>
      <w:r>
        <w:rPr>
          <w:rFonts w:ascii="Manrope" w:hAnsi="Manrope" w:eastAsia="Manrope" w:cs="Manrope"/>
          <w:sz w:val="24"/>
        </w:rPr>
        <w:t>Abrir as estações corretas do KDS.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color w:val="FC5B24"/>
          <w:sz w:val="24"/>
        </w:rPr>
        <w:t xml:space="preserve">☐ </w:t>
      </w:r>
      <w:r>
        <w:rPr>
          <w:rFonts w:ascii="Manrope" w:hAnsi="Manrope" w:eastAsia="Manrope" w:cs="Manrope"/>
          <w:sz w:val="24"/>
        </w:rPr>
        <w:t>Revisar produtos indisponíveis e cardápio publicado.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color w:val="FC5B24"/>
          <w:sz w:val="24"/>
        </w:rPr>
        <w:t xml:space="preserve">☐ </w:t>
      </w:r>
      <w:r>
        <w:rPr>
          <w:rFonts w:ascii="Manrope" w:hAnsi="Manrope" w:eastAsia="Manrope" w:cs="Manrope"/>
          <w:sz w:val="24"/>
        </w:rPr>
        <w:t>Conferir mesas, QR e dispositivos do salão.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color w:val="FC5B24"/>
          <w:sz w:val="24"/>
        </w:rPr>
        <w:t xml:space="preserve">☐ </w:t>
      </w:r>
      <w:r>
        <w:rPr>
          <w:rFonts w:ascii="Manrope" w:hAnsi="Manrope" w:eastAsia="Manrope" w:cs="Manrope"/>
          <w:sz w:val="24"/>
        </w:rPr>
        <w:t>Validar canais externos que deveriam estar conectados.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Durante o turno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color w:val="FC5B24"/>
          <w:sz w:val="24"/>
        </w:rPr>
        <w:t xml:space="preserve">☐ </w:t>
      </w:r>
      <w:r>
        <w:rPr>
          <w:rFonts w:ascii="Manrope" w:hAnsi="Manrope" w:eastAsia="Manrope" w:cs="Manrope"/>
          <w:sz w:val="24"/>
        </w:rPr>
        <w:t>Acompanhar atrasos e observações no KDS.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color w:val="FC5B24"/>
          <w:sz w:val="24"/>
        </w:rPr>
        <w:t xml:space="preserve">☐ </w:t>
      </w:r>
      <w:r>
        <w:rPr>
          <w:rFonts w:ascii="Manrope" w:hAnsi="Manrope" w:eastAsia="Manrope" w:cs="Manrope"/>
          <w:sz w:val="24"/>
        </w:rPr>
        <w:t>Registrar cancelamentos com o motivo correto.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color w:val="FC5B24"/>
          <w:sz w:val="24"/>
        </w:rPr>
        <w:t xml:space="preserve">☐ </w:t>
      </w:r>
      <w:r>
        <w:rPr>
          <w:rFonts w:ascii="Manrope" w:hAnsi="Manrope" w:eastAsia="Manrope" w:cs="Manrope"/>
          <w:sz w:val="24"/>
        </w:rPr>
        <w:t>Manter disponibilidade e estoque coerentes.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color w:val="FC5B24"/>
          <w:sz w:val="24"/>
        </w:rPr>
        <w:t xml:space="preserve">☐ </w:t>
      </w:r>
      <w:r>
        <w:rPr>
          <w:rFonts w:ascii="Manrope" w:hAnsi="Manrope" w:eastAsia="Manrope" w:cs="Manrope"/>
          <w:sz w:val="24"/>
        </w:rPr>
        <w:t>Não compartilhar credenciais ou deixar sessão aberta sem supervisão.</w:t>
      </w: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Fechamento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color w:val="FC5B24"/>
          <w:sz w:val="24"/>
        </w:rPr>
        <w:t xml:space="preserve">☐ </w:t>
      </w:r>
      <w:r>
        <w:rPr>
          <w:rFonts w:ascii="Manrope" w:hAnsi="Manrope" w:eastAsia="Manrope" w:cs="Manrope"/>
          <w:sz w:val="24"/>
        </w:rPr>
        <w:t>Confirmar pedidos em aberto, mesas e entregas pendentes.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color w:val="FC5B24"/>
          <w:sz w:val="24"/>
        </w:rPr>
        <w:t xml:space="preserve">☐ </w:t>
      </w:r>
      <w:r>
        <w:rPr>
          <w:rFonts w:ascii="Manrope" w:hAnsi="Manrope" w:eastAsia="Manrope" w:cs="Manrope"/>
          <w:sz w:val="24"/>
        </w:rPr>
        <w:t>Revisar recebimentos e divergências do caixa.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color w:val="FC5B24"/>
          <w:sz w:val="24"/>
        </w:rPr>
        <w:t xml:space="preserve">☐ </w:t>
      </w:r>
      <w:r>
        <w:rPr>
          <w:rFonts w:ascii="Manrope" w:hAnsi="Manrope" w:eastAsia="Manrope" w:cs="Manrope"/>
          <w:sz w:val="24"/>
        </w:rPr>
        <w:t>Registrar perdas, ajustes e entradas do dia.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color w:val="FC5B24"/>
          <w:sz w:val="24"/>
        </w:rPr>
        <w:t xml:space="preserve">☐ </w:t>
      </w:r>
      <w:r>
        <w:rPr>
          <w:rFonts w:ascii="Manrope" w:hAnsi="Manrope" w:eastAsia="Manrope" w:cs="Manrope"/>
          <w:sz w:val="24"/>
        </w:rPr>
        <w:t>Conferir documentos fiscais e pendências de emissão.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color w:val="FC5B24"/>
          <w:sz w:val="24"/>
        </w:rPr>
        <w:t xml:space="preserve">☐ </w:t>
      </w:r>
      <w:r>
        <w:rPr>
          <w:rFonts w:ascii="Manrope" w:hAnsi="Manrope" w:eastAsia="Manrope" w:cs="Manrope"/>
          <w:sz w:val="24"/>
        </w:rPr>
        <w:t>Encerrar sessões em dispositivos compartilhados.</w:t>
      </w:r>
    </w:p>
    <w:p>
      <w:pPr>
        <w:pStyle w:val="Heading1"/>
        <w:keepNext/>
        <w:widowControl/>
      </w:pPr>
      <w:r>
        <w:rPr>
          <w:rFonts w:ascii="Sora" w:hAnsi="Sora" w:eastAsia="Sora" w:cs="Sora"/>
          <w:sz w:val="44"/>
        </w:rPr>
        <w:t>17  Solução de problemas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Diagnóstico simples antes de pedir suporte.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304"/>
            <w:shd w:fill="0041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Sintoma</w:t>
            </w:r>
          </w:p>
        </w:tc>
        <w:tc>
          <w:tcPr>
            <w:tcW w:type="dxa" w:w="3888"/>
            <w:shd w:fill="0041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Verifique primeiro</w:t>
            </w:r>
          </w:p>
        </w:tc>
        <w:tc>
          <w:tcPr>
            <w:tcW w:type="dxa" w:w="3744"/>
            <w:shd w:fill="0041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Próxima ação</w:t>
            </w:r>
          </w:p>
        </w:tc>
      </w:tr>
      <w:tr>
        <w:trPr>
          <w:cantSplit/>
        </w:trPr>
        <w:tc>
          <w:tcPr>
            <w:tcW w:type="dxa" w:w="2304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Produto não aparece</w:t>
            </w:r>
          </w:p>
        </w:tc>
        <w:tc>
          <w:tcPr>
            <w:tcW w:type="dxa" w:w="3888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Disponibilidade, categoria, horário e loja ativa.</w:t>
            </w:r>
          </w:p>
        </w:tc>
        <w:tc>
          <w:tcPr>
            <w:tcW w:type="dxa" w:w="3744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Corrija o cadastro e teste em janela anônima.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Pedido não chega ao KDS</w:t>
            </w:r>
          </w:p>
        </w:tc>
        <w:tc>
          <w:tcPr>
            <w:tcW w:type="dxa" w:w="38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Estação, etapa, conexão e status do pedido.</w:t>
            </w:r>
          </w:p>
        </w:tc>
        <w:tc>
          <w:tcPr>
            <w:tcW w:type="dxa" w:w="37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Reabra a estação e registre horário/ID para suporte.</w:t>
            </w:r>
          </w:p>
        </w:tc>
      </w:tr>
      <w:tr>
        <w:trPr>
          <w:cantSplit/>
        </w:trPr>
        <w:tc>
          <w:tcPr>
            <w:tcW w:type="dxa" w:w="2304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Custo parece errado</w:t>
            </w:r>
          </w:p>
        </w:tc>
        <w:tc>
          <w:tcPr>
            <w:tcW w:type="dxa" w:w="3888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Embalagem, unidade, entrada, rendimento e ficha.</w:t>
            </w:r>
          </w:p>
        </w:tc>
        <w:tc>
          <w:tcPr>
            <w:tcW w:type="dxa" w:w="3744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Corrija a origem do dado; não force a margem.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WhatsApp não responde</w:t>
            </w:r>
          </w:p>
        </w:tc>
        <w:tc>
          <w:tcPr>
            <w:tcW w:type="dxa" w:w="38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Status de conexão e configuração do número.</w:t>
            </w:r>
          </w:p>
        </w:tc>
        <w:tc>
          <w:tcPr>
            <w:tcW w:type="dxa" w:w="37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Use atendimento humano e revise o canal.</w:t>
            </w:r>
          </w:p>
        </w:tc>
      </w:tr>
      <w:tr>
        <w:trPr>
          <w:cantSplit/>
        </w:trPr>
        <w:tc>
          <w:tcPr>
            <w:tcW w:type="dxa" w:w="2304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iFood não recebe pedido</w:t>
            </w:r>
          </w:p>
        </w:tc>
        <w:tc>
          <w:tcPr>
            <w:tcW w:type="dxa" w:w="3888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Onboarding, vínculo e status da integração.</w:t>
            </w:r>
          </w:p>
        </w:tc>
        <w:tc>
          <w:tcPr>
            <w:tcW w:type="dxa" w:w="3744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Evite duplicar; guarde o ID externo.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NFC-e rejeitada</w:t>
            </w:r>
          </w:p>
        </w:tc>
        <w:tc>
          <w:tcPr>
            <w:tcW w:type="dxa" w:w="38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Motivo retornado, cadastro fiscal e ambiente.</w:t>
            </w:r>
          </w:p>
        </w:tc>
        <w:tc>
          <w:tcPr>
            <w:tcW w:type="dxa" w:w="37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Corrija com apoio contábil e consulte o status.</w:t>
            </w:r>
          </w:p>
        </w:tc>
      </w:tr>
      <w:tr>
        <w:trPr>
          <w:cantSplit/>
        </w:trPr>
        <w:tc>
          <w:tcPr>
            <w:tcW w:type="dxa" w:w="2304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DRE mostra valores de exemplo</w:t>
            </w:r>
          </w:p>
        </w:tc>
        <w:tc>
          <w:tcPr>
            <w:tcW w:type="dxa" w:w="3888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Versão e selo demonstrativo.</w:t>
            </w:r>
          </w:p>
        </w:tc>
        <w:tc>
          <w:tcPr>
            <w:tcW w:type="dxa" w:w="3744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Não usar para decisão; aguardar integração real.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Ao abrir um chamado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informe data, hora e loja afetada;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descreva o caminho até o erro;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anexe captura da tela sem dados sensíveis;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inclua número interno do pedido e ID externo apenas quando necessário;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diga o que já foi verificado e se o problema continua.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B1C1C"/>
                <w:sz w:val="22"/>
              </w:rPr>
              <w:t>DADOS PESSOAIS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Não envie senha, token, certificado, chave privada ou dados completos de cartão em chamado ou captura de tela.</w:t>
            </w:r>
          </w:p>
        </w:tc>
      </w:tr>
    </w:tbl>
    <w:p>
      <w:pPr>
        <w:pStyle w:val="Heading1"/>
        <w:keepNext/>
        <w:widowControl/>
      </w:pPr>
      <w:r>
        <w:rPr>
          <w:rFonts w:ascii="Sora" w:hAnsi="Sora" w:eastAsia="Sora" w:cs="Sora"/>
          <w:sz w:val="44"/>
        </w:rPr>
        <w:t>18  Referência rápida de status</w:t>
      </w:r>
    </w:p>
    <w:p>
      <w:pPr>
        <w:widowControl/>
        <w:spacing w:after="200" w:line="276" w:lineRule="auto"/>
      </w:pPr>
      <w:r>
        <w:rPr>
          <w:rFonts w:ascii="Manrope" w:hAnsi="Manrope" w:eastAsia="Manrope" w:cs="Manrope"/>
          <w:color w:val="52606D"/>
          <w:sz w:val="25"/>
        </w:rPr>
        <w:t>O que pode ser comunicado e o que ainda precisa de qualificação.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520"/>
            <w:shd w:fill="0041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Recurso</w:t>
            </w:r>
          </w:p>
        </w:tc>
        <w:tc>
          <w:tcPr>
            <w:tcW w:type="dxa" w:w="3096"/>
            <w:shd w:fill="0041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Status em 20/09/2026</w:t>
            </w:r>
          </w:p>
        </w:tc>
        <w:tc>
          <w:tcPr>
            <w:tcW w:type="dxa" w:w="4320"/>
            <w:shd w:fill="00419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59" w:lineRule="auto"/>
              <w:jc w:val="center"/>
            </w:pPr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Como apresentar</w:t>
            </w:r>
          </w:p>
        </w:tc>
      </w:tr>
      <w:tr>
        <w:trPr>
          <w:cantSplit/>
        </w:trPr>
        <w:tc>
          <w:tcPr>
            <w:tcW w:type="dxa" w:w="2520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PDV, mesas e comanda móvel</w:t>
            </w:r>
          </w:p>
        </w:tc>
        <w:tc>
          <w:tcPr>
            <w:tcW w:type="dxa" w:w="3096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Disponível</w:t>
            </w:r>
          </w:p>
        </w:tc>
        <w:tc>
          <w:tcPr>
            <w:tcW w:type="dxa" w:w="4320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Fluxo operacional do produto.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QR por mesa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Disponível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Exige mesa e QR configurados.</w:t>
            </w:r>
          </w:p>
        </w:tc>
      </w:tr>
      <w:tr>
        <w:trPr>
          <w:cantSplit/>
        </w:trPr>
        <w:tc>
          <w:tcPr>
            <w:tcW w:type="dxa" w:w="2520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KDS e produção</w:t>
            </w:r>
          </w:p>
        </w:tc>
        <w:tc>
          <w:tcPr>
            <w:tcW w:type="dxa" w:w="3096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Disponível</w:t>
            </w:r>
          </w:p>
        </w:tc>
        <w:tc>
          <w:tcPr>
            <w:tcW w:type="dxa" w:w="4320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Exige estação e etapas configuradas.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Estoque, fichas e custos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Disponível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Qualidade depende dos dados cadastrados.</w:t>
            </w:r>
          </w:p>
        </w:tc>
      </w:tr>
      <w:tr>
        <w:trPr>
          <w:cantSplit/>
        </w:trPr>
        <w:tc>
          <w:tcPr>
            <w:tcW w:type="dxa" w:w="2520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WhatsApp com IA</w:t>
            </w:r>
          </w:p>
        </w:tc>
        <w:tc>
          <w:tcPr>
            <w:tcW w:type="dxa" w:w="3096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Requer configuração</w:t>
            </w:r>
          </w:p>
        </w:tc>
        <w:tc>
          <w:tcPr>
            <w:tcW w:type="dxa" w:w="4320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Não afirmar conexão ativa por padrão.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iFood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Requer ativação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Confirmar onboarding e status da loja.</w:t>
            </w:r>
          </w:p>
        </w:tc>
      </w:tr>
      <w:tr>
        <w:trPr>
          <w:cantSplit/>
        </w:trPr>
        <w:tc>
          <w:tcPr>
            <w:tcW w:type="dxa" w:w="2520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Emissão de NFC-e</w:t>
            </w:r>
          </w:p>
        </w:tc>
        <w:tc>
          <w:tcPr>
            <w:tcW w:type="dxa" w:w="3096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Requer configuração/homologação</w:t>
            </w:r>
          </w:p>
        </w:tc>
        <w:tc>
          <w:tcPr>
            <w:tcW w:type="dxa" w:w="4320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Validar regras fiscais e ambiente.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DRE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Demonstrativo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Não usar como apuração real nesta versão.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widowControl/>
      </w:pPr>
      <w:r>
        <w:rPr>
          <w:rFonts w:ascii="Sora" w:hAnsi="Sora" w:eastAsia="Sora" w:cs="Sora"/>
          <w:sz w:val="32"/>
        </w:rPr>
        <w:t>Princípio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8F7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0F766E"/>
                <w:sz w:val="22"/>
              </w:rPr>
              <w:t>OPERAÇÃO CONFIÁVEL COMEÇA COM DADO CONFIÁVEL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sz w:val="22"/>
              </w:rPr>
              <w:t>O MiseOn conecta pedido, produção, estoque e custo. A melhor decisão continua dependendo de cadastro correto, rotina disciplinada e conferência humana nos pontos críticos.</w:t>
            </w:r>
          </w:p>
        </w:tc>
      </w:tr>
    </w:tbl>
    <w:p>
      <w:pPr>
        <w:pStyle w:val="Heading1"/>
        <w:keepNext/>
        <w:pageBreakBefore/>
        <w:widowControl/>
        <w:spacing w:before="120" w:after="80"/>
      </w:pPr>
      <w:r>
        <w:rPr>
          <w:rFonts w:ascii="Sora" w:hAnsi="Sora" w:eastAsia="Sora" w:cs="Sora"/>
          <w:sz w:val="44"/>
        </w:rPr>
        <w:t>19  Onboarding por perfil</w:t>
      </w:r>
    </w:p>
    <w:p>
      <w:pPr>
        <w:widowControl/>
        <w:spacing w:after="120" w:line="276" w:lineRule="auto"/>
      </w:pPr>
      <w:r>
        <w:rPr>
          <w:rFonts w:ascii="Manrope" w:hAnsi="Manrope" w:eastAsia="Manrope" w:cs="Manrope"/>
          <w:sz w:val="25"/>
        </w:rPr>
        <w:t>Use a trilha correspondente à operação. O objetivo do onboarding não é preencher tudo: é chegar a um primeiro pedido completo, controlado e verificável.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7D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A6700"/>
                <w:sz w:val="22"/>
              </w:rPr>
              <w:t>LIMITE ATUAL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color w:val="070C18"/>
                <w:sz w:val="22"/>
              </w:rPr>
              <w:t>O cadastro ainda não transforma automaticamente as respostas sobre salão, delivery e equipe em mesas, usuários ou taxas. Até essa automação ser publicada, o onboarding deve ser assistido e conferido item a item.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pageBreakBefore w:val="0"/>
        <w:widowControl/>
        <w:spacing w:before="160" w:after="80"/>
      </w:pPr>
      <w:r>
        <w:rPr>
          <w:rFonts w:ascii="Sora" w:hAnsi="Sora" w:eastAsia="Sora" w:cs="Sora"/>
          <w:sz w:val="32"/>
        </w:rPr>
        <w:t>Perfil 1 — Hamburgueria com delivery e dois funcionários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Criar a loja e cadastrar os dois acessos individualmente.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Configurar endereço, horários, retirada, raio/taxa de entrega e pagamentos.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Cadastrar um combo simples com adicionais e estação do KDS.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Executar pedido controlado: cardápio → checkout → KDS → expedição → estoque.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Só divulgar o link depois de conferir mínimo, frete e loja aberta/fechada.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EF0EE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B42318"/>
                <w:sz w:val="22"/>
              </w:rPr>
              <w:t>BLOQUEIO DE LIBERAÇÃO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color w:val="070C18"/>
                <w:sz w:val="22"/>
              </w:rPr>
              <w:t>Não usar o PDV publicado enquanto ele continuar sem carregar os 17 produtos da loja de teste.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pageBreakBefore w:val="0"/>
        <w:widowControl/>
        <w:spacing w:before="160" w:after="80"/>
      </w:pPr>
      <w:r>
        <w:rPr>
          <w:rFonts w:ascii="Sora" w:hAnsi="Sora" w:eastAsia="Sora" w:cs="Sora"/>
          <w:sz w:val="32"/>
        </w:rPr>
        <w:t>Perfil 2 — Lanchonete de balcão e WhatsApp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Configurar PDV, caixa, senhas, retirada e formas de pagamento.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Cadastrar itens rápidos e testar indisponibilidade durante o turno.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Conectar um número dedicado e validar o estado real do WhatsApp.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Testar pergunta, produto indisponível, alergia e transferência para humano.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Manter atendimento manual até o painel mostrar conexão saudável.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7D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A6700"/>
                <w:sz w:val="22"/>
              </w:rPr>
              <w:t>BLOQUEIO DE LIBERAÇÃO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color w:val="070C18"/>
                <w:sz w:val="22"/>
              </w:rPr>
              <w:t>O onboarding não pode dizer “Feito” se a integração estiver DESCONECTADA.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pageBreakBefore w:val="0"/>
        <w:widowControl/>
        <w:spacing w:before="160" w:after="80"/>
      </w:pPr>
      <w:r>
        <w:rPr>
          <w:rFonts w:ascii="Sora" w:hAnsi="Sora" w:eastAsia="Sora" w:cs="Sora"/>
          <w:sz w:val="32"/>
        </w:rPr>
        <w:t>Perfil 3 — Restaurante com salão e quatro garçons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Criar mapa de mesas e um acesso por garçom com papel mínimo.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Configurar taxa de serviço, estações do KDS e impressoras/telas.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Abrir mesa, lançar pedido, acompanhar preparo e receber pagamento controlado.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Testar divisão simples sem fracionar o mesmo item entre assentos.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Conferir saldo e fechar a comanda somente após confirmação do pagamento.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EF0EE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B42318"/>
                <w:sz w:val="22"/>
              </w:rPr>
              <w:t>BLOQUEIO DE LIBERAÇÃO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color w:val="070C18"/>
                <w:sz w:val="22"/>
              </w:rPr>
              <w:t>Não liberar divisão por assento nem fechamento 3D antes das correções transacionais e dos testes de falha.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pageBreakBefore w:val="0"/>
        <w:widowControl/>
        <w:spacing w:before="160" w:after="80"/>
      </w:pPr>
      <w:r>
        <w:rPr>
          <w:rFonts w:ascii="Sora" w:hAnsi="Sora" w:eastAsia="Sora" w:cs="Sora"/>
          <w:sz w:val="32"/>
        </w:rPr>
        <w:t>Perfil 4 — Pizzaria com alto volume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Cadastrar tamanhos, sabores como produtos/opções suportadas e estação Forno.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Medir pedido → forno → expedição em uma bateria controlada.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Definir capacidade, contingência e impressão antes do pico.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Homologar iFood com cinco pedidos consecutivos, sem 403 ou duplicidade.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Publicar apenas composições realmente suportadas pelo pedido e pela ficha.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EF0EE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B42318"/>
                <w:sz w:val="22"/>
              </w:rPr>
              <w:t>BLOQUEIO DE LIBERAÇÃO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color w:val="070C18"/>
                <w:sz w:val="22"/>
              </w:rPr>
              <w:t>Pizza meio a meio/bordas não está implementada como fluxo específico; não prometer nem improvisar em alto volume.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pageBreakBefore w:val="0"/>
        <w:widowControl/>
        <w:spacing w:before="160" w:after="80"/>
      </w:pPr>
      <w:r>
        <w:rPr>
          <w:rFonts w:ascii="Sora" w:hAnsi="Sora" w:eastAsia="Sora" w:cs="Sora"/>
          <w:sz w:val="32"/>
        </w:rPr>
        <w:t>Perfil 5 — Administrador de duas unidades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Solicitar criação assistida da segunda unidade e definir regra comercial.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Criar vínculos e permissões por unidade, com teste de isolamento.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Usar o seletor e confirmar a loja ativa antes de qualquer edição.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Testar cardápio, estoque, equipe e pedidos separadamente nas duas lojas.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Definir se existe ou não consolidação financeira antes de contratar.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7D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A6700"/>
                <w:sz w:val="22"/>
              </w:rPr>
              <w:t>BLOQUEIO DE LIBERAÇÃO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color w:val="070C18"/>
                <w:sz w:val="22"/>
              </w:rPr>
              <w:t>O self-service atual bloqueia a criação da segunda unidade; o seletor só funciona para vínculos já existentes.</w:t>
            </w:r>
          </w:p>
        </w:tc>
      </w:tr>
    </w:tbl>
    <w:p>
      <w:pPr>
        <w:pStyle w:val="Heading1"/>
        <w:keepNext/>
        <w:pageBreakBefore w:val="0"/>
        <w:widowControl/>
        <w:spacing w:before="120" w:after="80"/>
      </w:pPr>
      <w:r>
        <w:rPr>
          <w:rFonts w:ascii="Sora" w:hAnsi="Sora" w:eastAsia="Sora" w:cs="Sora"/>
          <w:sz w:val="44"/>
        </w:rPr>
        <w:t>20  Custo 3D e Rastreio 3D</w:t>
      </w:r>
    </w:p>
    <w:p>
      <w:pPr>
        <w:widowControl/>
        <w:spacing w:after="120" w:line="276" w:lineRule="auto"/>
      </w:pPr>
      <w:r>
        <w:rPr>
          <w:rFonts w:ascii="Manrope" w:hAnsi="Manrope" w:eastAsia="Manrope" w:cs="Manrope"/>
          <w:sz w:val="25"/>
        </w:rPr>
        <w:t>As duas visualizações ajudam a investigar custo, estoque e capacidade de produção. Elas devem tornar o dado explicável; não substituem contagem física, nota, lote ou ficha técnica.</w:t>
      </w:r>
    </w:p>
    <w:p>
      <w:pPr>
        <w:pStyle w:val="Heading2"/>
        <w:keepNext/>
        <w:pageBreakBefore w:val="0"/>
        <w:widowControl/>
        <w:spacing w:before="160" w:after="80"/>
      </w:pPr>
      <w:r>
        <w:rPr>
          <w:rFonts w:ascii="Sora" w:hAnsi="Sora" w:eastAsia="Sora" w:cs="Sora"/>
          <w:sz w:val="32"/>
        </w:rPr>
        <w:t>Custo 3D — o que ele mostra hoje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lotes com custo e a diluição matemática pelas conversões cadastradas;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capital alocado, custo unitário, categoria e concentração por nó;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conservação de valor entre compra e unidades derivadas;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atualização quando insumos, lotes ou fatores de conversão mudam no build auditado.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7D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A6700"/>
                <w:sz w:val="22"/>
              </w:rPr>
              <w:t>INTERPRETAÇÃO CORRETA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color w:val="070C18"/>
                <w:sz w:val="22"/>
              </w:rPr>
              <w:t>A cadeia é reconstruída pelo estado atual do lote e dos fatores. Ela não prova, sozinha, que cada transformação aconteceu na data exibida. Trate-a como explicação matemática até existir um ledger imutável de eventos.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pageBreakBefore w:val="0"/>
        <w:widowControl/>
        <w:spacing w:before="160" w:after="80"/>
      </w:pPr>
      <w:r>
        <w:rPr>
          <w:rFonts w:ascii="Sora" w:hAnsi="Sora" w:eastAsia="Sora" w:cs="Sora"/>
          <w:sz w:val="32"/>
        </w:rPr>
        <w:t>Rastreio 3D — o que ele mostra hoje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insumos ativos organizados por setor cadastrado ou derivado;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saldo, estoque mínimo, lotes, custo PEPS/médio/cadastro e alerta de desvio;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conversões físicas e humanas, com quantidade e custo por estágio;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receitas possíveis, porções e ingrediente que limita a produção.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7D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9A6700"/>
                <w:sz w:val="22"/>
              </w:rPr>
              <w:t>LIMITES ATUAIS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color w:val="070C18"/>
                <w:sz w:val="22"/>
              </w:rPr>
              <w:t>Setor pode ser heurístico quando não está cadastrado; preparo dentro de preparo é expandido apenas um nível; não há localização por prateleira/posição, QR de lote ou linha do tempo imutável.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pageBreakBefore w:val="0"/>
        <w:widowControl/>
        <w:spacing w:before="160" w:after="80"/>
      </w:pPr>
      <w:r>
        <w:rPr>
          <w:rFonts w:ascii="Sora" w:hAnsi="Sora" w:eastAsia="Sora" w:cs="Sora"/>
          <w:sz w:val="32"/>
        </w:rPr>
        <w:t>Como investigar um custo suspeito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69"/>
      </w:tblGrid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Abra a linha da nota e confira unidade comercial, quantidade e total.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Compare a unidade da nota com a unidade-base do insumo.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Valide o fator. Exemplo obrigatório: 1 kg = 1.000 g; 1 L = 1.000 ml.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Confira lote, custo por unidade, saldo e origem do custo no Rastreio.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5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Revise ficha técnica e rendimento dos produtos afetados.</w:t>
            </w:r>
          </w:p>
        </w:tc>
      </w:tr>
      <w:tr>
        <w:trPr>
          <w:cantSplit/>
          <w:cantSplit/>
        </w:trPr>
        <w:tc>
          <w:tcPr>
            <w:tcW w:type="dxa" w:w="835"/>
            <w:shd w:fill="FC5B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6</w:t>
            </w:r>
          </w:p>
        </w:tc>
        <w:tc>
          <w:tcPr>
            <w:tcW w:type="dxa" w:w="8669"/>
            <w:shd w:fill="F7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Corrija pela rotina oficial e registre motivo; não edite o número apenas para ajustar a margem.</w:t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EF0EE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B42318"/>
                <w:sz w:val="22"/>
              </w:rPr>
              <w:t>CASO REAL DA AUDITORIA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color w:val="070C18"/>
                <w:sz w:val="22"/>
              </w:rPr>
              <w:t>A loja de teste continha uma cenoura com custo por grama na escala do preço por quilo. O padrão é compatível com a conversão kg→g que antes assumia fator 1. A correção impede novas importações ambíguas, mas o lote antigo ainda precisa de reconciliação assistida.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pageBreakBefore w:val="0"/>
        <w:widowControl/>
        <w:spacing w:before="160" w:after="80"/>
      </w:pPr>
      <w:r>
        <w:rPr>
          <w:rFonts w:ascii="Sora" w:hAnsi="Sora" w:eastAsia="Sora" w:cs="Sora"/>
          <w:sz w:val="32"/>
        </w:rPr>
        <w:t>Evolução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720"/>
            <w:shd w:fill="0041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Fase</w:t>
            </w:r>
          </w:p>
        </w:tc>
        <w:tc>
          <w:tcPr>
            <w:tcW w:type="dxa" w:w="4968"/>
            <w:shd w:fill="0041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Entrega</w:t>
            </w:r>
          </w:p>
        </w:tc>
        <w:tc>
          <w:tcPr>
            <w:tcW w:type="dxa" w:w="3240"/>
            <w:shd w:fill="0041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Como comprovar</w:t>
            </w:r>
          </w:p>
        </w:tc>
      </w:tr>
      <w:tr>
        <w:trPr>
          <w:cantSplit/>
          <w:cantSplit/>
        </w:trPr>
        <w:tc>
          <w:tcPr>
            <w:tcW w:type="dxa" w:w="72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P0</w:t>
            </w:r>
          </w:p>
        </w:tc>
        <w:tc>
          <w:tcPr>
            <w:tcW w:type="dxa" w:w="496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Trava de fator, fila de inconsistências e margem nula quando não confiável.</w:t>
            </w:r>
          </w:p>
        </w:tc>
        <w:tc>
          <w:tcPr>
            <w:tcW w:type="dxa" w:w="324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Zero fator desconhecido aceito como 1; varredura sem achado alto.</w:t>
            </w:r>
          </w:p>
        </w:tc>
      </w:tr>
      <w:tr>
        <w:trPr>
          <w:cantSplit/>
          <w:cantSplit/>
        </w:trPr>
        <w:tc>
          <w:tcPr>
            <w:tcW w:type="dxa" w:w="72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P1</w:t>
            </w:r>
          </w:p>
        </w:tc>
        <w:tc>
          <w:tcPr>
            <w:tcW w:type="dxa" w:w="496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Item fiscal bruto, evidência/confiança, prévia de impacto e aprendizado por fornecedor.</w:t>
            </w:r>
          </w:p>
        </w:tc>
        <w:tc>
          <w:tcPr>
            <w:tcW w:type="dxa" w:w="324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Menos correção manual sem falso aceite crítico.</w:t>
            </w:r>
          </w:p>
        </w:tc>
      </w:tr>
      <w:tr>
        <w:trPr>
          <w:cantSplit/>
          <w:cantSplit/>
        </w:trPr>
        <w:tc>
          <w:tcPr>
            <w:tcW w:type="dxa" w:w="72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P2</w:t>
            </w:r>
          </w:p>
        </w:tc>
        <w:tc>
          <w:tcPr>
            <w:tcW w:type="dxa" w:w="496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Ledger imutável nota→lote→transformação→venda/perda e linha do tempo do Custo 3D.</w:t>
            </w:r>
          </w:p>
        </w:tc>
        <w:tc>
          <w:tcPr>
            <w:tcW w:type="dxa" w:w="324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Qualquer custo reproduzível até a origem.</w:t>
            </w:r>
          </w:p>
        </w:tc>
      </w:tr>
      <w:tr>
        <w:trPr>
          <w:cantSplit/>
          <w:cantSplit/>
        </w:trPr>
        <w:tc>
          <w:tcPr>
            <w:tcW w:type="dxa" w:w="72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P3</w:t>
            </w:r>
          </w:p>
        </w:tc>
        <w:tc>
          <w:tcPr>
            <w:tcW w:type="dxa" w:w="496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Local físico, QR, FEFO, inventário cíclico e previsão no Rastreio 3D.</w:t>
            </w:r>
          </w:p>
        </w:tc>
        <w:tc>
          <w:tcPr>
            <w:tcW w:type="dxa" w:w="324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Piloto mede divergência, ruptura e perda.</w:t>
            </w:r>
          </w:p>
        </w:tc>
      </w:tr>
    </w:tbl>
    <w:p>
      <w:pPr>
        <w:pStyle w:val="Heading1"/>
        <w:keepNext/>
        <w:pageBreakBefore w:val="0"/>
        <w:widowControl/>
        <w:spacing w:before="120" w:after="80"/>
      </w:pPr>
      <w:r>
        <w:rPr>
          <w:rFonts w:ascii="Sora" w:hAnsi="Sora" w:eastAsia="Sora" w:cs="Sora"/>
          <w:sz w:val="44"/>
        </w:rPr>
        <w:t>21  Liberação comercial e garantia</w:t>
      </w:r>
    </w:p>
    <w:p>
      <w:pPr>
        <w:widowControl/>
        <w:spacing w:after="120" w:line="276" w:lineRule="auto"/>
      </w:pPr>
      <w:r>
        <w:rPr>
          <w:rFonts w:ascii="Manrope" w:hAnsi="Manrope" w:eastAsia="Manrope" w:cs="Manrope"/>
          <w:sz w:val="25"/>
        </w:rPr>
        <w:t>Esta seção define o que pode ser garantido com evidência e o que permanece condicionado. Ela existe para proteger o cliente, a operação e a reputação do MiseOn.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EF0EE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B42318"/>
                <w:sz w:val="22"/>
              </w:rPr>
              <w:t>ATESTADO TÉCNICO CONDICIONAL — 20/09/2026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color w:val="070C18"/>
                <w:sz w:val="22"/>
              </w:rPr>
              <w:t>O código compila, a suíte disponível passa e controles relevantes de preço, cupom, entrega, estados e estoque existem no servidor. A versão auditada NÃO está aprovada para venda self-service nem para garantia de funcionamento integral. O formato defensável hoje é piloto assistido, com escopo e integrações declarados por escrito.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pageBreakBefore w:val="0"/>
        <w:widowControl/>
        <w:spacing w:before="160" w:after="80"/>
      </w:pPr>
      <w:r>
        <w:rPr>
          <w:rFonts w:ascii="Sora" w:hAnsi="Sora" w:eastAsia="Sora" w:cs="Sora"/>
          <w:sz w:val="32"/>
        </w:rPr>
        <w:t>Bloqueadores antes da venda self-service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037"/>
            <w:shd w:fill="0041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Severidade</w:t>
            </w:r>
          </w:p>
        </w:tc>
        <w:tc>
          <w:tcPr>
            <w:tcW w:type="dxa" w:w="4824"/>
            <w:shd w:fill="0041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Bloqueador</w:t>
            </w:r>
          </w:p>
        </w:tc>
        <w:tc>
          <w:tcPr>
            <w:tcW w:type="dxa" w:w="3139"/>
            <w:shd w:fill="0041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Prova de aceite</w:t>
            </w:r>
          </w:p>
        </w:tc>
      </w:tr>
      <w:tr>
        <w:trPr>
          <w:cantSplit/>
          <w:cantSplit/>
        </w:trPr>
        <w:tc>
          <w:tcPr>
            <w:tcW w:type="dxa" w:w="103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Crítico</w:t>
            </w:r>
          </w:p>
        </w:tc>
        <w:tc>
          <w:tcPr>
            <w:tcW w:type="dxa" w:w="482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PDV não carrega produtos existentes.</w:t>
            </w:r>
          </w:p>
        </w:tc>
        <w:tc>
          <w:tcPr>
            <w:tcW w:type="dxa" w:w="313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Catálogo e PDV exibem os mesmos 17/17 produtos.</w:t>
            </w:r>
          </w:p>
        </w:tc>
      </w:tr>
      <w:tr>
        <w:trPr>
          <w:cantSplit/>
          <w:cantSplit/>
        </w:trPr>
        <w:tc>
          <w:tcPr>
            <w:tcW w:type="dxa" w:w="1037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Crítico</w:t>
            </w:r>
          </w:p>
        </w:tc>
        <w:tc>
          <w:tcPr>
            <w:tcW w:type="dxa" w:w="4824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Divisão por assento pode multiplicar o preço.</w:t>
            </w:r>
          </w:p>
        </w:tc>
        <w:tc>
          <w:tcPr>
            <w:tcW w:type="dxa" w:w="3139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R$ 40 dividido por 4 continua totalizando R$ 40.</w:t>
            </w:r>
          </w:p>
        </w:tc>
      </w:tr>
      <w:tr>
        <w:trPr>
          <w:cantSplit/>
          <w:cantSplit/>
        </w:trPr>
        <w:tc>
          <w:tcPr>
            <w:tcW w:type="dxa" w:w="103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Crítico</w:t>
            </w:r>
          </w:p>
        </w:tc>
        <w:tc>
          <w:tcPr>
            <w:tcW w:type="dxa" w:w="482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Cashback integral pode deixar pedido aguardando pagamento.</w:t>
            </w:r>
          </w:p>
        </w:tc>
        <w:tc>
          <w:tcPr>
            <w:tcW w:type="dxa" w:w="313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Pagamento PAGO, pedido ACEITO e uma baixa de estoque.</w:t>
            </w:r>
          </w:p>
        </w:tc>
      </w:tr>
      <w:tr>
        <w:trPr>
          <w:cantSplit/>
          <w:cantSplit/>
        </w:trPr>
        <w:tc>
          <w:tcPr>
            <w:tcW w:type="dxa" w:w="1037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Crítico</w:t>
            </w:r>
          </w:p>
        </w:tc>
        <w:tc>
          <w:tcPr>
            <w:tcW w:type="dxa" w:w="4824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Falha de gateway pode deixar pedido/pagamento órfão.</w:t>
            </w:r>
          </w:p>
        </w:tc>
        <w:tc>
          <w:tcPr>
            <w:tcW w:type="dxa" w:w="3139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Cancelamento autorizado e idempotente, sem pendência.</w:t>
            </w:r>
          </w:p>
        </w:tc>
      </w:tr>
      <w:tr>
        <w:trPr>
          <w:cantSplit/>
          <w:cantSplit/>
        </w:trPr>
        <w:tc>
          <w:tcPr>
            <w:tcW w:type="dxa" w:w="103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Crítico</w:t>
            </w:r>
          </w:p>
        </w:tc>
        <w:tc>
          <w:tcPr>
            <w:tcW w:type="dxa" w:w="482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iFood em HTTP 403 e sem receber.</w:t>
            </w:r>
          </w:p>
        </w:tc>
        <w:tc>
          <w:tcPr>
            <w:tcW w:type="dxa" w:w="313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Cinco pedidos consecutivos sem erro ou duplicidade.</w:t>
            </w:r>
          </w:p>
        </w:tc>
      </w:tr>
      <w:tr>
        <w:trPr>
          <w:cantSplit/>
          <w:cantSplit/>
        </w:trPr>
        <w:tc>
          <w:tcPr>
            <w:tcW w:type="dxa" w:w="1037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Crítico</w:t>
            </w:r>
          </w:p>
        </w:tc>
        <w:tc>
          <w:tcPr>
            <w:tcW w:type="dxa" w:w="4824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Acompanhamento público por UUID devolve dados excessivos.</w:t>
            </w:r>
          </w:p>
        </w:tc>
        <w:tc>
          <w:tcPr>
            <w:tcW w:type="dxa" w:w="3139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Token específico/expirável e payload mínimo.</w:t>
            </w:r>
          </w:p>
        </w:tc>
      </w:tr>
      <w:tr>
        <w:trPr>
          <w:cantSplit/>
          <w:cantSplit/>
        </w:trPr>
        <w:tc>
          <w:tcPr>
            <w:tcW w:type="dxa" w:w="103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Alto</w:t>
            </w:r>
          </w:p>
        </w:tc>
        <w:tc>
          <w:tcPr>
            <w:tcW w:type="dxa" w:w="482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Fechamento de mesa não é uma transação única.</w:t>
            </w:r>
          </w:p>
        </w:tc>
        <w:tc>
          <w:tcPr>
            <w:tcW w:type="dxa" w:w="313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Falha injetada causa rollback integral.</w:t>
            </w:r>
          </w:p>
        </w:tc>
      </w:tr>
      <w:tr>
        <w:trPr>
          <w:cantSplit/>
          <w:cantSplit/>
        </w:trPr>
        <w:tc>
          <w:tcPr>
            <w:tcW w:type="dxa" w:w="1037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Alto</w:t>
            </w:r>
          </w:p>
        </w:tc>
        <w:tc>
          <w:tcPr>
            <w:tcW w:type="dxa" w:w="4824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Loja de teste possui divergências de estoque/custo.</w:t>
            </w:r>
          </w:p>
        </w:tc>
        <w:tc>
          <w:tcPr>
            <w:tcW w:type="dxa" w:w="3139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Varredura de integridade sem achado ALTO.</w:t>
            </w:r>
          </w:p>
        </w:tc>
      </w:tr>
      <w:tr>
        <w:trPr>
          <w:cantSplit/>
          <w:cantSplit/>
        </w:trPr>
        <w:tc>
          <w:tcPr>
            <w:tcW w:type="dxa" w:w="103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Alto</w:t>
            </w:r>
          </w:p>
        </w:tc>
        <w:tc>
          <w:tcPr>
            <w:tcW w:type="dxa" w:w="482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Segunda unidade não nasce pelo self-service.</w:t>
            </w:r>
          </w:p>
        </w:tc>
        <w:tc>
          <w:tcPr>
            <w:tcW w:type="dxa" w:w="313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Criar, alternar e isolar duas lojas.</w:t>
            </w:r>
          </w:p>
        </w:tc>
      </w:tr>
      <w:tr>
        <w:trPr>
          <w:cantSplit/>
          <w:cantSplit/>
        </w:trPr>
        <w:tc>
          <w:tcPr>
            <w:tcW w:type="dxa" w:w="1037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Alto</w:t>
            </w:r>
          </w:p>
        </w:tc>
        <w:tc>
          <w:tcPr>
            <w:tcW w:type="dxa" w:w="4824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Alegações públicas excedem a evidência.</w:t>
            </w:r>
          </w:p>
        </w:tc>
        <w:tc>
          <w:tcPr>
            <w:tcW w:type="dxa" w:w="3139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Zero número/absoluto sem fonte e escopo.</w:t>
            </w:r>
          </w:p>
        </w:tc>
      </w:tr>
    </w:tbl>
    <w:p>
      <w:pPr>
        <w:widowControl/>
        <w:spacing w:after="120" w:line="276" w:lineRule="auto"/>
      </w:pPr>
    </w:p>
    <w:p>
      <w:pPr>
        <w:pStyle w:val="Heading2"/>
        <w:keepNext/>
        <w:pageBreakBefore w:val="0"/>
        <w:widowControl/>
        <w:spacing w:before="160" w:after="80"/>
      </w:pPr>
      <w:r>
        <w:rPr>
          <w:rFonts w:ascii="Sora" w:hAnsi="Sora" w:eastAsia="Sora" w:cs="Sora"/>
          <w:sz w:val="32"/>
        </w:rPr>
        <w:t>O que pode ser afirmado agora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a base React/TypeScript compila e o build de produção é gerado;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a suíte automatizada disponível passou na auditoria;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o sistema possui módulos reais de pedidos, KDS, estoque, fichas, compras, custos e canais;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preço, cupom e entrega possuem controles autoritativos no servidor;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a entrada fiscal possui classificação, de-para, duplicidade e lançamento transacional;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existem limitações conhecidas e documentadas que precisam ser corrigidas antes da venda autônoma.</w:t>
      </w:r>
    </w:p>
    <w:p>
      <w:pPr>
        <w:pStyle w:val="Heading2"/>
        <w:keepNext/>
        <w:pageBreakBefore w:val="0"/>
        <w:widowControl/>
        <w:spacing w:before="160" w:after="80"/>
      </w:pPr>
      <w:r>
        <w:rPr>
          <w:rFonts w:ascii="Sora" w:hAnsi="Sora" w:eastAsia="Sora" w:cs="Sora"/>
          <w:sz w:val="32"/>
        </w:rPr>
        <w:t>O que não pode ser afirmado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que o sistema é 100% livre de falhas ou adequado a toda operação;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que iFood ou WhatsApp estão ativos para qualquer loja sem homologação individual;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que o Custo 3D é histórico imutável de transformações;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que margem é confiável quando embalagem, lote, rendimento ou ficha não são confiáveis;</w:t>
      </w:r>
    </w:p>
    <w:p>
      <w:pPr>
        <w:pStyle w:val="ListBullet"/>
        <w:widowControl/>
        <w:spacing w:after="120" w:line="276" w:lineRule="auto"/>
      </w:pPr>
      <w:r>
        <w:rPr>
          <w:rFonts w:ascii="Manrope" w:hAnsi="Manrope" w:eastAsia="Manrope" w:cs="Manrope"/>
          <w:sz w:val="24"/>
        </w:rPr>
        <w:t>que existe cliente pagante, resultado percentual ou economia medida sem a consulta correspondente.</w:t>
      </w:r>
    </w:p>
    <w:p>
      <w:pPr>
        <w:pStyle w:val="Heading1"/>
        <w:keepNext/>
        <w:pageBreakBefore/>
        <w:widowControl/>
        <w:spacing w:before="120" w:after="80"/>
      </w:pPr>
      <w:r>
        <w:rPr>
          <w:rFonts w:ascii="Sora" w:hAnsi="Sora" w:eastAsia="Sora" w:cs="Sora"/>
          <w:sz w:val="44"/>
        </w:rPr>
        <w:t>Apêndice  Checklist de evidências para assinatura</w:t>
      </w:r>
    </w:p>
    <w:p>
      <w:pPr>
        <w:widowControl/>
        <w:spacing w:after="120" w:line="276" w:lineRule="auto"/>
      </w:pPr>
      <w:r>
        <w:rPr>
          <w:rFonts w:ascii="Manrope" w:hAnsi="Manrope" w:eastAsia="Manrope" w:cs="Manrope"/>
          <w:sz w:val="25"/>
        </w:rPr>
        <w:t>Preencha este checklist por versão e por loja piloto. Não marque “aprovado” por aparência da tela; anexe vídeo, log, consulta ou relatório reproduzível.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4392"/>
            <w:shd w:fill="0041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Evidência</w:t>
            </w:r>
          </w:p>
        </w:tc>
        <w:tc>
          <w:tcPr>
            <w:tcW w:type="dxa" w:w="2520"/>
            <w:shd w:fill="0041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Resultado</w:t>
            </w:r>
          </w:p>
        </w:tc>
        <w:tc>
          <w:tcPr>
            <w:tcW w:type="dxa" w:w="2088"/>
            <w:shd w:fill="0041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/>
                <w:color w:val="FFFFFF"/>
                <w:sz w:val="22"/>
              </w:rPr>
              <w:t>Responsável/data</w:t>
            </w:r>
          </w:p>
        </w:tc>
      </w:tr>
      <w:tr>
        <w:trPr>
          <w:cantSplit/>
          <w:cantSplit/>
        </w:trPr>
        <w:tc>
          <w:tcPr>
            <w:tcW w:type="dxa" w:w="4392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Conta nova → configuração → primeiro produto</w:t>
            </w:r>
          </w:p>
        </w:tc>
        <w:tc>
          <w:tcPr>
            <w:tcW w:type="dxa" w:w="252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☐ Aprovado  ☐ Reprovado</w:t>
            </w:r>
          </w:p>
        </w:tc>
        <w:tc>
          <w:tcPr>
            <w:tcW w:type="dxa" w:w="208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/>
                <w:b w:val="0"/>
                <w:color w:val="070C18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439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Pedido balcão → KDS → conclusão</w:t>
            </w:r>
          </w:p>
        </w:tc>
        <w:tc>
          <w:tcPr>
            <w:tcW w:type="dxa" w:w="252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☐ Aprovado  ☐ Reprovado</w:t>
            </w:r>
          </w:p>
        </w:tc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/>
                <w:b w:val="0"/>
                <w:color w:val="070C18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4392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Mesa → pagamento → fechamento atômico</w:t>
            </w:r>
          </w:p>
        </w:tc>
        <w:tc>
          <w:tcPr>
            <w:tcW w:type="dxa" w:w="252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☐ Aprovado  ☐ Reprovado</w:t>
            </w:r>
          </w:p>
        </w:tc>
        <w:tc>
          <w:tcPr>
            <w:tcW w:type="dxa" w:w="208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/>
                <w:b w:val="0"/>
                <w:color w:val="070C18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439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Cardápio → entrega → pagamento</w:t>
            </w:r>
          </w:p>
        </w:tc>
        <w:tc>
          <w:tcPr>
            <w:tcW w:type="dxa" w:w="252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☐ Aprovado  ☐ Reprovado</w:t>
            </w:r>
          </w:p>
        </w:tc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/>
                <w:b w:val="0"/>
                <w:color w:val="070C18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4392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NFC-e/XML → prévia → lote → custo</w:t>
            </w:r>
          </w:p>
        </w:tc>
        <w:tc>
          <w:tcPr>
            <w:tcW w:type="dxa" w:w="252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☐ Aprovado  ☐ Reprovado</w:t>
            </w:r>
          </w:p>
        </w:tc>
        <w:tc>
          <w:tcPr>
            <w:tcW w:type="dxa" w:w="208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/>
                <w:b w:val="0"/>
                <w:color w:val="070C18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439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iFood/WhatsApp homologados no tenant</w:t>
            </w:r>
          </w:p>
        </w:tc>
        <w:tc>
          <w:tcPr>
            <w:tcW w:type="dxa" w:w="252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☐ Aprovado  ☐ N/A</w:t>
            </w:r>
          </w:p>
        </w:tc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/>
                <w:b w:val="0"/>
                <w:color w:val="070C18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4392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Varredura de integridade e segurança</w:t>
            </w:r>
          </w:p>
        </w:tc>
        <w:tc>
          <w:tcPr>
            <w:tcW w:type="dxa" w:w="252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☐ Aprovado  ☐ Reprovado</w:t>
            </w:r>
          </w:p>
        </w:tc>
        <w:tc>
          <w:tcPr>
            <w:tcW w:type="dxa" w:w="208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/>
                <w:b w:val="0"/>
                <w:color w:val="070C18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4392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TypeScript, testes, build e E2E</w:t>
            </w:r>
          </w:p>
        </w:tc>
        <w:tc>
          <w:tcPr>
            <w:tcW w:type="dxa" w:w="2520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☐ Aprovado  ☐ Reprovado</w:t>
            </w:r>
          </w:p>
        </w:tc>
        <w:tc>
          <w:tcPr>
            <w:tcW w:type="dxa" w:w="2088"/>
            <w:shd w:fill="F3F6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/>
                <w:b w:val="0"/>
                <w:color w:val="070C18"/>
                <w:sz w:val="16"/>
              </w:rPr>
            </w:r>
          </w:p>
        </w:tc>
      </w:tr>
      <w:tr>
        <w:trPr>
          <w:cantSplit/>
          <w:cantSplit/>
        </w:trPr>
        <w:tc>
          <w:tcPr>
            <w:tcW w:type="dxa" w:w="4392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Marketing revisado sem alegação não medida</w:t>
            </w:r>
          </w:p>
        </w:tc>
        <w:tc>
          <w:tcPr>
            <w:tcW w:type="dxa" w:w="252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 w:eastAsia="Manrope" w:cs="Manrope"/>
                <w:b w:val="0"/>
                <w:color w:val="070C18"/>
                <w:sz w:val="22"/>
              </w:rPr>
              <w:t>☐ Aprovado  ☐ Reprovado</w:t>
            </w:r>
          </w:p>
        </w:tc>
        <w:tc>
          <w:tcPr>
            <w:tcW w:type="dxa" w:w="208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Manrope" w:hAnsi="Manrope"/>
                <w:b w:val="0"/>
                <w:color w:val="070C18"/>
                <w:sz w:val="16"/>
              </w:rPr>
            </w:r>
          </w:p>
        </w:tc>
      </w:tr>
    </w:tbl>
    <w:p>
      <w:pPr>
        <w:widowControl/>
        <w:spacing w:after="12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FF5FC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 w:line="259" w:lineRule="auto"/>
            </w:pPr>
            <w:r>
              <w:rPr>
                <w:rFonts w:ascii="Manrope" w:hAnsi="Manrope" w:eastAsia="Manrope" w:cs="Manrope"/>
                <w:b/>
                <w:color w:val="004198"/>
                <w:sz w:val="22"/>
              </w:rPr>
              <w:t>ASSINATURA DE LIBERAÇÃO</w:t>
            </w:r>
          </w:p>
          <w:p>
            <w:pPr>
              <w:spacing w:after="0" w:line="259" w:lineRule="auto"/>
            </w:pPr>
            <w:r>
              <w:rPr>
                <w:rFonts w:ascii="Manrope" w:hAnsi="Manrope" w:eastAsia="Manrope" w:cs="Manrope"/>
                <w:color w:val="070C18"/>
                <w:sz w:val="22"/>
              </w:rPr>
              <w:t>Versão: ____________________   Loja piloto: ____________________   Responsável técnico: ____________________   Data: ____/____/______   Decisão: ☐ LIBERADO PARA PILOTO  ☐ LIBERADO PARA SELF-SERVICE  ☐ BLOQUEADO</w:t>
            </w:r>
          </w:p>
        </w:tc>
      </w:tr>
    </w:tbl>
    <w:p>
      <w:pPr>
        <w:widowControl/>
        <w:spacing w:after="120" w:line="276" w:lineRule="auto"/>
      </w:pPr>
    </w:p>
    <w:sectPr w:rsidR="00FC693F" w:rsidRPr="0006063C" w:rsidSect="00034616">
      <w:headerReference w:type="default" r:id="rId9"/>
      <w:footerReference w:type="default" r:id="rId10"/>
      <w:headerReference w:type="first" r:id="rId27"/>
      <w:headerReference w:type="even" r:id="rId28"/>
      <w:footerReference w:type="first" r:id="rId29"/>
      <w:footerReference w:type="even" r:id="rId30"/>
      <w:pgSz w:w="12240" w:h="15840"/>
      <w:pgMar w:top="893" w:right="1008" w:bottom="893" w:left="1008" w:header="389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anrope" w:hAnsi="Manrope" w:eastAsia="Manrope" w:cs="Manrope"/>
        <w:color w:val="626E7D"/>
        <w:sz w:val="20"/>
      </w:rPr>
      <w:t xml:space="preserve">MiseOn  •  versão 20/09/2026  •  página </w:t>
    </w:r>
    <w:r>
      <w:rPr>
        <w:rFonts w:ascii="Manrope" w:hAnsi="Manrope" w:eastAsia="Manrope" w:cs="Manrope"/>
        <w:color w:val="626E7D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anrope" w:hAnsi="Manrope" w:eastAsia="Manrope" w:cs="Manrope"/>
        <w:b/>
        <w:color w:val="004198"/>
        <w:sz w:val="20"/>
      </w:rPr>
      <w:t>MISEON  ·  MANUAL DO SISTEMA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Manrope" w:hAnsi="Manrope" w:eastAsia="Manrope" w:cs="Manrope"/>
      <w:b w:val="0"/>
      <w:color w:val="070C18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00" w:after="160"/>
      <w:outlineLvl w:val="0"/>
    </w:pPr>
    <w:rPr>
      <w:rFonts w:asciiTheme="majorHAnsi" w:eastAsiaTheme="majorEastAsia" w:hAnsiTheme="majorHAnsi" w:cstheme="majorBidi" w:ascii="Sora" w:hAnsi="Sora" w:eastAsia="Sora" w:cs="Sora"/>
      <w:b/>
      <w:bCs/>
      <w:color w:val="00419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ora" w:hAnsi="Sora" w:eastAsia="Sora" w:cs="Sora"/>
      <w:b/>
      <w:bCs/>
      <w:color w:val="FC5B2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Sora" w:hAnsi="Sora" w:eastAsia="Sora" w:cs="Sora"/>
      <w:b/>
      <w:bCs/>
      <w:color w:val="FC5B24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Sora" w:hAnsi="Sora" w:eastAsia="Sora" w:cs="Sora"/>
      <w:b/>
      <w:color w:val="FFFF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anrope" w:hAnsi="Manrope" w:eastAsia="Manrope" w:cs="Manrope"/>
      <w:b w:val="0"/>
      <w:i/>
      <w:iCs/>
      <w:color w:val="EAF1FB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anrope" w:hAnsi="Manrope" w:eastAsia="Manrope" w:cs="Manrope"/>
      <w:b w:val="0"/>
      <w:sz w:val="25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nrope" w:hAnsi="Manrope" w:eastAsia="Manrope" w:cs="Manrope"/>
      <w:b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nrope" w:hAnsi="Manrope" w:eastAsia="Manrope" w:cs="Manrope"/>
      <w:b w:val="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nrope" w:hAnsi="Manrope" w:eastAsia="Manrope" w:cs="Manrope"/>
      <w:b w:val="0"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MiseOn">
    <w:name w:val="Caption MiseOn"/>
    <w:pPr>
      <w:keepNext w:val="0"/>
      <w:spacing w:before="60" w:after="160"/>
    </w:pPr>
    <w:rPr>
      <w:rFonts w:ascii="Aptos" w:hAnsi="Aptos"/>
      <w:i/>
      <w:color w:val="52606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29" Type="http://schemas.openxmlformats.org/officeDocument/2006/relationships/footer" Target="footer2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MiseOn — Manual Profissional do Sistema</dc:title>
  <dc:subject>Operação, onboarding, custos, rastreabilidade e liberação comercial</dc:subject>
  <dc:creator>MiseOn</dc:creator>
  <cp:keywords>MiseOn, food service, manual, onboarding, PDV, KDS, estoque, custo, rastreio</cp:keywords>
  <dc:description>Edição de alta legibilidade: corpo 12,5 pt; tabelas 11 pt; hierarquia de títulos ampliada.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