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2.2: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existe deux types de réponses fonctionnelles selon les espèces : 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Dépendante du ratio : pour la prédation des loups sur les grands ongulés 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19450" cy="952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Lorsque les loups sont nombreux (W≫βN) , le taux de mise à mort tend vers 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52525" cy="342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proportionnel au nombre de proies par prédateur .A l’inverse,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quand les proies dominent (βN≫W), il sature à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62000" cy="2762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Réponse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II classique</w:t>
      </w:r>
      <w:r w:rsidDel="00000000" w:rsidR="00000000" w:rsidRPr="00000000">
        <w:rPr>
          <w:sz w:val="24"/>
          <w:szCs w:val="24"/>
          <w:rtl w:val="0"/>
        </w:rPr>
        <w:t xml:space="preserve"> (Holling 1959), proie-dépendante :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000" cy="723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h : densité de proies.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capacité de charge des ongulés et la végétation sont couplée par une fonction de Monod : 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0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: V : biomasse végétale totale </w:t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V⋆ et V⋆⋆ : les seuils de biomasse végétale </w:t>
      </w:r>
    </w:p>
    <w:p w:rsidR="00000000" w:rsidDel="00000000" w:rsidP="00000000" w:rsidRDefault="00000000" w:rsidRPr="00000000" w14:paraId="0000001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KN​ et KD les capacités de charge maximales </w:t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Elle tend vers 0 en cas de famine ( V→0 ) et vers KN ou KD quand la végétation est abondante.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seuils diffèrent entre les wapitis et les cerfs 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système est basé sur 5  EDO couplées :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000" cy="318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: Croissance logistique freinée par le pâturage des 3 consommateurs.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 (3) : Croissance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thêta-logistique</w:t>
      </w:r>
      <w:r w:rsidDel="00000000" w:rsidR="00000000" w:rsidRPr="00000000">
        <w:rPr>
          <w:sz w:val="24"/>
          <w:szCs w:val="24"/>
          <w:rtl w:val="0"/>
        </w:rPr>
        <w:t xml:space="preserve"> (Gilpin-Ayala) : 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θN=4 , générant une régulation densité-dépendante bien plus forte que le modèle logistique standard ( θ=1)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(4) : Réponse numérique logarithmique (Vucetich et al. (2011) ) :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Où 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33575" cy="3905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: taux total de mise à mort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28725" cy="361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: Chasse automnale + rend système non autonome (T=1)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: Croissance combinant prédation sur les deux ongulés et consommation  directe de végétation. 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000" cy="2717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simulations débutent à t=0: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000" cy="736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Ces conditions représentent l’état de l’écosystème peu après la réintroduction des loups.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