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CROSS-BORDER PAYMENTS IN SOUTH AFRICA</w:t>
      </w:r>
    </w:p>
    <w:p>
      <w:pPr>
        <w:spacing w:after="160"/>
      </w:pPr>
      <w:r>
        <w:rPr>
          <w:i/>
          <w:iCs/>
          <w:color w:val="555555"/>
          <w:sz w:val="22"/>
          <w:szCs w:val="22"/>
        </w:rPr>
        <w:t xml:space="preserve">Data Model, Process Definition, Regulatory Landscape, and Implementation Best Practices</w:t>
      </w:r>
    </w:p>
    <w:p>
      <w:pPr>
        <w:pBdr>
          <w:bottom w:val="single" w:color="1F3864" w:sz="12" w:space="6"/>
        </w:pBdr>
        <w:spacing w:after="40"/>
      </w:pPr>
      <w:r>
        <w:rPr>
          <w:color w:val="777777"/>
          <w:sz w:val="17"/>
          <w:szCs w:val="17"/>
        </w:rPr>
        <w:t xml:space="preserve">Prepared as a working reference for payments, compliance, and engineering teams | June 2026</w:t>
      </w:r>
    </w:p>
    <w:p>
      <w:pPr>
        <w:spacing w:after="120"/>
      </w:pPr>
    </w:p>
    <w:p>
      <w:pPr>
        <w:spacing w:after="110"/>
      </w:pPr>
      <w:r>
        <w:t xml:space="preserve">South Africa's cross-border payment ecosystem sits at the intersection of the South African Reserve Bank's exchange control framework, the National Payment System Act, SWIFT and correspondent banking rails, and an accelerating shift toward regulated non-bank participation. This document consolidates the core data model used to represent a cross-border payment, the end-to-end process flow from initiation to settlement, the regulatory bodies and instruments that govern the activity, and the best practices that institutions should implement to remain compliant and resilient.</w:t>
      </w:r>
    </w:p>
    <w:p>
      <w:pPr>
        <w:pStyle w:val="Heading1"/>
      </w:pPr>
      <w:r>
        <w:t xml:space="preserve">1. Overview of the Cross-Border Payment Ecosystem</w:t>
      </w:r>
    </w:p>
    <w:p>
      <w:pPr>
        <w:spacing w:after="110"/>
      </w:pPr>
      <w:r>
        <w:t xml:space="preserve">A cross-border payment in the South African context is any transfer of funds where the payer and the payee are located in different countries, and at least one leg of the transaction is processed through a South African Authorised Dealer (typically a licensed bank) or an Authorised Dealer with limited authority (ADLA, typically a money transfer operator or bureau de change).</w:t>
      </w:r>
    </w:p>
    <w:p>
      <w:pPr>
        <w:pStyle w:val="Heading2"/>
      </w:pPr>
      <w:r>
        <w:t xml:space="preserve">1.1 Key Participants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6780"/>
      </w:tblGrid>
      <w:tr>
        <w:trPr>
          <w:tblHeader/>
        </w:trPr>
        <w:tc>
          <w:tcPr>
            <w:tcW w:type="dxa" w:w="33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jc w:val="left"/>
            </w:pPr>
            <w:r>
              <w:rPr>
                <w:b/>
                <w:bCs/>
                <w:color w:val="FFFFFF"/>
                <w:sz w:val="18"/>
                <w:szCs w:val="18"/>
              </w:rPr>
              <w:t xml:space="preserve">Role</w:t>
            </w:r>
          </w:p>
        </w:tc>
        <w:tc>
          <w:tcPr>
            <w:tcW w:type="dxa" w:w="678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jc w:val="left"/>
            </w:pPr>
            <w:r>
              <w:rPr>
                <w:b/>
                <w:bCs/>
                <w:color w:val="FFFFFF"/>
                <w:sz w:val="18"/>
                <w:szCs w:val="18"/>
              </w:rPr>
              <w:t xml:space="preserve">Description</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Originator / Payer</w:t>
            </w:r>
          </w:p>
        </w:tc>
        <w:tc>
          <w:tcPr>
            <w:tcW w:type="dxa" w:w="6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The individual or entity instructing the payment, resident or non-resident.</w:t>
            </w:r>
          </w:p>
        </w:tc>
      </w:tr>
      <w:tr>
        <w:tc>
          <w:tcPr>
            <w:tcW w:type="dxa" w:w="33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Beneficiary / Payee</w:t>
            </w:r>
          </w:p>
        </w:tc>
        <w:tc>
          <w:tcPr>
            <w:tcW w:type="dxa" w:w="67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The receiving party in the destination country.</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Authorised Dealer (AD)</w:t>
            </w:r>
          </w:p>
        </w:tc>
        <w:tc>
          <w:tcPr>
            <w:tcW w:type="dxa" w:w="6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A South African bank licensed by SARB to deal in foreign exchange and process cross-border transfers.</w:t>
            </w:r>
          </w:p>
        </w:tc>
      </w:tr>
      <w:tr>
        <w:tc>
          <w:tcPr>
            <w:tcW w:type="dxa" w:w="33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ADLA</w:t>
            </w:r>
          </w:p>
        </w:tc>
        <w:tc>
          <w:tcPr>
            <w:tcW w:type="dxa" w:w="67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Authorised Dealer with Limited Authority - non-bank entity (e.g. money transfer operator) permitted to handle defined categories of cross-border payments.</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Correspondent Bank</w:t>
            </w:r>
          </w:p>
        </w:tc>
        <w:tc>
          <w:tcPr>
            <w:tcW w:type="dxa" w:w="6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Foreign bank holding a nostro/vostro relationship with the South African AD to enable settlement in the destination currency.</w:t>
            </w:r>
          </w:p>
        </w:tc>
      </w:tr>
      <w:tr>
        <w:tc>
          <w:tcPr>
            <w:tcW w:type="dxa" w:w="33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Payment System Operator (PSO) / PCH</w:t>
            </w:r>
          </w:p>
        </w:tc>
        <w:tc>
          <w:tcPr>
            <w:tcW w:type="dxa" w:w="67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Operates clearing infrastructure; relevant for regional schemes such as SADC-RTGS and PAPSS.</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SARB (Financial Surveillance Dept.)</w:t>
            </w:r>
          </w:p>
        </w:tc>
        <w:tc>
          <w:tcPr>
            <w:tcW w:type="dxa" w:w="6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Administers exchange controls and authorises ADs/ADLAs.</w:t>
            </w:r>
          </w:p>
        </w:tc>
      </w:tr>
      <w:tr>
        <w:tc>
          <w:tcPr>
            <w:tcW w:type="dxa" w:w="33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SARS</w:t>
            </w:r>
          </w:p>
        </w:tc>
        <w:tc>
          <w:tcPr>
            <w:tcW w:type="dxa" w:w="67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Verifies tax compliance status as a precondition for certain outward transfers.</w:t>
            </w:r>
          </w:p>
        </w:tc>
      </w:tr>
    </w:tbl>
    <w:p>
      <w:pPr>
        <w:pStyle w:val="Heading2"/>
      </w:pPr>
      <w:r>
        <w:t xml:space="preserve">1.2 Common Payment Corridors and Rails</w:t>
      </w:r>
    </w:p>
    <w:p>
      <w:pPr>
        <w:pStyle w:val="ListParagraph"/>
        <w:numPr>
          <w:ilvl w:val="0"/>
          <w:numId w:val="2"/>
        </w:numPr>
        <w:spacing w:after="30"/>
      </w:pPr>
      <w:r>
        <w:t xml:space="preserve">SWIFT MT/MX (ISO 20022) messaging - the dominant rail for bank-to-bank international wire transfers.</w:t>
      </w:r>
    </w:p>
    <w:p>
      <w:pPr>
        <w:pStyle w:val="ListParagraph"/>
        <w:numPr>
          <w:ilvl w:val="0"/>
          <w:numId w:val="2"/>
        </w:numPr>
        <w:spacing w:after="30"/>
      </w:pPr>
      <w:r>
        <w:t xml:space="preserve">SADC-RTGS - real-time gross settlement scheme for transfers within the Southern African Development Community.</w:t>
      </w:r>
    </w:p>
    <w:p>
      <w:pPr>
        <w:pStyle w:val="ListParagraph"/>
        <w:numPr>
          <w:ilvl w:val="0"/>
          <w:numId w:val="2"/>
        </w:numPr>
        <w:spacing w:after="30"/>
      </w:pPr>
      <w:r>
        <w:t xml:space="preserve">Pan-African Payment and Settlement System (PAPSS) - emerging continental scheme enabling local-currency settlement across African markets, reducing reliance on US dollar correspondent legs.</w:t>
      </w:r>
    </w:p>
    <w:p>
      <w:pPr>
        <w:pStyle w:val="ListParagraph"/>
        <w:numPr>
          <w:ilvl w:val="0"/>
          <w:numId w:val="2"/>
        </w:numPr>
        <w:spacing w:after="30"/>
      </w:pPr>
      <w:r>
        <w:t xml:space="preserve">Money transfer operators (MTOs) - regulated ADLAs handling remittances, particularly across African migrant-worker corridors.</w:t>
      </w:r>
    </w:p>
    <w:p>
      <w:pPr>
        <w:pStyle w:val="ListParagraph"/>
        <w:numPr>
          <w:ilvl w:val="0"/>
          <w:numId w:val="2"/>
        </w:numPr>
        <w:spacing w:after="30"/>
      </w:pPr>
      <w:r>
        <w:t xml:space="preserve">Card scheme cross-border rails (Visa/Mastercard) - for card-funded international payments and e-commerce.</w:t>
      </w:r>
    </w:p>
    <w:p>
      <w:pPr>
        <w:pStyle w:val="Heading1"/>
      </w:pPr>
      <w:r>
        <w:t xml:space="preserve">2. Data Model</w:t>
      </w:r>
    </w:p>
    <w:p>
      <w:pPr>
        <w:spacing w:after="110"/>
      </w:pPr>
      <w:r>
        <w:t xml:space="preserve">A cross-border payment data model must capture identity, instruction, regulatory, and settlement information in a structure that supports both straight-through processing and the reporting obligations imposed by SARB and FICA. The core entities are described below, followed by their key attributes.</w:t>
      </w:r>
    </w:p>
    <w:p>
      <w:pPr>
        <w:pStyle w:val="Heading2"/>
      </w:pPr>
      <w:r>
        <w:t xml:space="preserve">2.1 Core Entities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6780"/>
      </w:tblGrid>
      <w:tr>
        <w:trPr>
          <w:tblHeader/>
        </w:trPr>
        <w:tc>
          <w:tcPr>
            <w:tcW w:type="dxa" w:w="33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jc w:val="left"/>
            </w:pPr>
            <w:r>
              <w:rPr>
                <w:b/>
                <w:bCs/>
                <w:color w:val="FFFFFF"/>
                <w:sz w:val="18"/>
                <w:szCs w:val="18"/>
              </w:rPr>
              <w:t xml:space="preserve">Entity</w:t>
            </w:r>
          </w:p>
        </w:tc>
        <w:tc>
          <w:tcPr>
            <w:tcW w:type="dxa" w:w="678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jc w:val="left"/>
            </w:pPr>
            <w:r>
              <w:rPr>
                <w:b/>
                <w:bCs/>
                <w:color w:val="FFFFFF"/>
                <w:sz w:val="18"/>
                <w:szCs w:val="18"/>
              </w:rPr>
              <w:t xml:space="preserve">Purpose</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Party</w:t>
            </w:r>
          </w:p>
        </w:tc>
        <w:tc>
          <w:tcPr>
            <w:tcW w:type="dxa" w:w="6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Represents any individual or organisation in the transaction: originator, beneficiary, ultimate beneficial owner, or intermediary.</w:t>
            </w:r>
          </w:p>
        </w:tc>
      </w:tr>
      <w:tr>
        <w:tc>
          <w:tcPr>
            <w:tcW w:type="dxa" w:w="33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Account</w:t>
            </w:r>
          </w:p>
        </w:tc>
        <w:tc>
          <w:tcPr>
            <w:tcW w:type="dxa" w:w="67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Holds account/IBAN/account-number details and the institution at which it is held, for both originator and beneficiary.</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Payment Instruction</w:t>
            </w:r>
          </w:p>
        </w:tc>
        <w:tc>
          <w:tcPr>
            <w:tcW w:type="dxa" w:w="6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The core transaction record: amount, currencies, value date, purpose code, and routing.</w:t>
            </w:r>
          </w:p>
        </w:tc>
      </w:tr>
      <w:tr>
        <w:tc>
          <w:tcPr>
            <w:tcW w:type="dxa" w:w="33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FX Conversion</w:t>
            </w:r>
          </w:p>
        </w:tc>
        <w:tc>
          <w:tcPr>
            <w:tcW w:type="dxa" w:w="67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Captures the exchange rate applied, rate source, and spread/margin where currency conversion occurs.</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Regulatory Classification</w:t>
            </w:r>
          </w:p>
        </w:tc>
        <w:tc>
          <w:tcPr>
            <w:tcW w:type="dxa" w:w="6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Stores BoP (Balance of Payments) category, purpose-of-payment code, and exchange control approval reference.</w:t>
            </w:r>
          </w:p>
        </w:tc>
      </w:tr>
      <w:tr>
        <w:tc>
          <w:tcPr>
            <w:tcW w:type="dxa" w:w="33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Compliance Record</w:t>
            </w:r>
          </w:p>
        </w:tc>
        <w:tc>
          <w:tcPr>
            <w:tcW w:type="dxa" w:w="67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AML/CFT screening results, sanctions screening outcome, FICA verification status, and risk rating.</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Settlement Leg</w:t>
            </w:r>
          </w:p>
        </w:tc>
        <w:tc>
          <w:tcPr>
            <w:tcW w:type="dxa" w:w="6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One or more ledger entries describing how funds move between institutions (nostro/vostro, RTGS, correspondent).</w:t>
            </w:r>
          </w:p>
        </w:tc>
      </w:tr>
      <w:tr>
        <w:tc>
          <w:tcPr>
            <w:tcW w:type="dxa" w:w="33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Status Event</w:t>
            </w:r>
          </w:p>
        </w:tc>
        <w:tc>
          <w:tcPr>
            <w:tcW w:type="dxa" w:w="67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An auditable, timestamped log of the instruction's lifecycle state changes.</w:t>
            </w:r>
          </w:p>
        </w:tc>
      </w:tr>
    </w:tbl>
    <w:p>
      <w:pPr>
        <w:pStyle w:val="Heading2"/>
      </w:pPr>
      <w:r>
        <w:t xml:space="preserve">2.2 Key Attributes by Entity</w:t>
      </w:r>
    </w:p>
    <w:p>
      <w:pPr>
        <w:pStyle w:val="Heading3"/>
      </w:pPr>
      <w:r>
        <w:t xml:space="preserve">Payment Instruction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6780"/>
      </w:tblGrid>
      <w:tr>
        <w:trPr>
          <w:tblHeader/>
        </w:trPr>
        <w:tc>
          <w:tcPr>
            <w:tcW w:type="dxa" w:w="33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jc w:val="left"/>
            </w:pPr>
            <w:r>
              <w:rPr>
                <w:b/>
                <w:bCs/>
                <w:color w:val="FFFFFF"/>
                <w:sz w:val="18"/>
                <w:szCs w:val="18"/>
              </w:rPr>
              <w:t xml:space="preserve">Attribute</w:t>
            </w:r>
          </w:p>
        </w:tc>
        <w:tc>
          <w:tcPr>
            <w:tcW w:type="dxa" w:w="678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jc w:val="left"/>
            </w:pPr>
            <w:r>
              <w:rPr>
                <w:b/>
                <w:bCs/>
                <w:color w:val="FFFFFF"/>
                <w:sz w:val="18"/>
                <w:szCs w:val="18"/>
              </w:rPr>
              <w:t xml:space="preserve">Description</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transaction_id</w:t>
            </w:r>
          </w:p>
        </w:tc>
        <w:tc>
          <w:tcPr>
            <w:tcW w:type="dxa" w:w="6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Unique identifier (UETR for SWIFT gpi-tracked payments).</w:t>
            </w:r>
          </w:p>
        </w:tc>
      </w:tr>
      <w:tr>
        <w:tc>
          <w:tcPr>
            <w:tcW w:type="dxa" w:w="33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originator_party_id</w:t>
            </w:r>
          </w:p>
        </w:tc>
        <w:tc>
          <w:tcPr>
            <w:tcW w:type="dxa" w:w="67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Foreign key to the originating Party.</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beneficiary_party_id</w:t>
            </w:r>
          </w:p>
        </w:tc>
        <w:tc>
          <w:tcPr>
            <w:tcW w:type="dxa" w:w="6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Foreign key to the receiving Party.</w:t>
            </w:r>
          </w:p>
        </w:tc>
      </w:tr>
      <w:tr>
        <w:tc>
          <w:tcPr>
            <w:tcW w:type="dxa" w:w="33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source_currency / target_currency</w:t>
            </w:r>
          </w:p>
        </w:tc>
        <w:tc>
          <w:tcPr>
            <w:tcW w:type="dxa" w:w="67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ISO 4217 currency codes.</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instructed_amount / settlement_amount</w:t>
            </w:r>
          </w:p>
        </w:tc>
        <w:tc>
          <w:tcPr>
            <w:tcW w:type="dxa" w:w="6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Amount as instructed vs. amount actually settled after FX and fees.</w:t>
            </w:r>
          </w:p>
        </w:tc>
      </w:tr>
      <w:tr>
        <w:tc>
          <w:tcPr>
            <w:tcW w:type="dxa" w:w="33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purpose_code</w:t>
            </w:r>
          </w:p>
        </w:tc>
        <w:tc>
          <w:tcPr>
            <w:tcW w:type="dxa" w:w="67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SARB Balance of Payments reporting category (e.g. import payment, family remittance, services).</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value_date</w:t>
            </w:r>
          </w:p>
        </w:tc>
        <w:tc>
          <w:tcPr>
            <w:tcW w:type="dxa" w:w="6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Date funds are to be made available to the beneficiary.</w:t>
            </w:r>
          </w:p>
        </w:tc>
      </w:tr>
      <w:tr>
        <w:tc>
          <w:tcPr>
            <w:tcW w:type="dxa" w:w="33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channel</w:t>
            </w:r>
          </w:p>
        </w:tc>
        <w:tc>
          <w:tcPr>
            <w:tcW w:type="dxa" w:w="67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SWIFT, SADC-RTGS, PAPSS, MTO network, card rail.</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status</w:t>
            </w:r>
          </w:p>
        </w:tc>
        <w:tc>
          <w:tcPr>
            <w:tcW w:type="dxa" w:w="6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Initiated, screened, approved, sent, settled, returned, rejected.</w:t>
            </w:r>
          </w:p>
        </w:tc>
      </w:tr>
    </w:tbl>
    <w:p>
      <w:pPr>
        <w:pStyle w:val="Heading3"/>
      </w:pPr>
      <w:r>
        <w:t xml:space="preserve">Compliance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6780"/>
      </w:tblGrid>
      <w:tr>
        <w:trPr>
          <w:tblHeader/>
        </w:trPr>
        <w:tc>
          <w:tcPr>
            <w:tcW w:type="dxa" w:w="33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jc w:val="left"/>
            </w:pPr>
            <w:r>
              <w:rPr>
                <w:b/>
                <w:bCs/>
                <w:color w:val="FFFFFF"/>
                <w:sz w:val="18"/>
                <w:szCs w:val="18"/>
              </w:rPr>
              <w:t xml:space="preserve">Attribute</w:t>
            </w:r>
          </w:p>
        </w:tc>
        <w:tc>
          <w:tcPr>
            <w:tcW w:type="dxa" w:w="678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jc w:val="left"/>
            </w:pPr>
            <w:r>
              <w:rPr>
                <w:b/>
                <w:bCs/>
                <w:color w:val="FFFFFF"/>
                <w:sz w:val="18"/>
                <w:szCs w:val="18"/>
              </w:rPr>
              <w:t xml:space="preserve">Description</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fica_verification_status</w:t>
            </w:r>
          </w:p>
        </w:tc>
        <w:tc>
          <w:tcPr>
            <w:tcW w:type="dxa" w:w="6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Outcome of Financial Intelligence Centre Act identity/address verification.</w:t>
            </w:r>
          </w:p>
        </w:tc>
      </w:tr>
      <w:tr>
        <w:tc>
          <w:tcPr>
            <w:tcW w:type="dxa" w:w="33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sanctions_screening_result</w:t>
            </w:r>
          </w:p>
        </w:tc>
        <w:tc>
          <w:tcPr>
            <w:tcW w:type="dxa" w:w="67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Match/no-match against UN, OFAC, and local sanctions lists.</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risk_rating</w:t>
            </w:r>
          </w:p>
        </w:tc>
        <w:tc>
          <w:tcPr>
            <w:tcW w:type="dxa" w:w="6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Low/medium/high, driving the level of due diligence applied.</w:t>
            </w:r>
          </w:p>
        </w:tc>
      </w:tr>
      <w:tr>
        <w:tc>
          <w:tcPr>
            <w:tcW w:type="dxa" w:w="33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sars_tax_status_reference</w:t>
            </w:r>
          </w:p>
        </w:tc>
        <w:tc>
          <w:tcPr>
            <w:tcW w:type="dxa" w:w="67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Tax Compliance Status PIN or AIT reference required for qualifying outward transfers.</w:t>
            </w:r>
          </w:p>
        </w:tc>
      </w:tr>
      <w:t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str_flag</w:t>
            </w:r>
          </w:p>
        </w:tc>
        <w:tc>
          <w:tcPr>
            <w:tcW w:type="dxa" w:w="6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Indicator that a Suspicious Transaction Report was filed with the FIC.</w:t>
            </w:r>
          </w:p>
        </w:tc>
      </w:tr>
    </w:tbl>
    <w:p>
      <w:pPr>
        <w:pStyle w:val="Heading2"/>
      </w:pPr>
      <w:r>
        <w:t xml:space="preserve">2.3 Conceptual Relationships</w:t>
      </w:r>
    </w:p>
    <w:p>
      <w:pPr>
        <w:spacing w:after="110"/>
      </w:pPr>
      <w:r>
        <w:t xml:space="preserve">A Party can be linked to multiple Accounts and can act as originator on some Payment Instructions and beneficiary on others. Each Payment Instruction has exactly one Compliance Record and one FX Conversion record (where currency conversion occurs), but may be composed of multiple Settlement Legs when intermediary correspondent banks are involved. Status Events form a one-to-many append-only log against each Payment Instruction, providing the audit trail required by both SARB and FICA.</w:t>
      </w:r>
    </w:p>
    <w:p>
      <w:pPr>
        <w:pStyle w:val="Heading1"/>
      </w:pPr>
      <w:r>
        <w:t xml:space="preserve">3. Process Definition</w:t>
      </w:r>
    </w:p>
    <w:p>
      <w:pPr>
        <w:spacing w:after="110"/>
      </w:pPr>
      <w:r>
        <w:t xml:space="preserve">The end-to-end cross-border payment process can be grouped into five stages. Each stage has distinct controls, system touchpoints, and regulatory checkpoints.</w:t>
      </w:r>
    </w:p>
    <w:p>
      <w:pPr>
        <w:pStyle w:val="Heading2"/>
      </w:pPr>
      <w:r>
        <w:t xml:space="preserve">3.1 Stage 1 - Initiation and Capture</w:t>
      </w:r>
    </w:p>
    <w:p>
      <w:pPr>
        <w:pStyle w:val="ListParagraph"/>
        <w:numPr>
          <w:ilvl w:val="0"/>
          <w:numId w:val="3"/>
        </w:numPr>
        <w:spacing w:after="30"/>
      </w:pPr>
      <w:r>
        <w:t xml:space="preserve">Customer or corporate originator submits payment details through online banking, branch, or API channel.</w:t>
      </w:r>
    </w:p>
    <w:p>
      <w:pPr>
        <w:pStyle w:val="ListParagraph"/>
        <w:numPr>
          <w:ilvl w:val="0"/>
          <w:numId w:val="3"/>
        </w:numPr>
        <w:spacing w:after="30"/>
      </w:pPr>
      <w:r>
        <w:t xml:space="preserve">Originator and beneficiary details are captured against the Party and Account entities, including SWIFT/BIC, IBAN or account number, and beneficiary bank details.</w:t>
      </w:r>
    </w:p>
    <w:p>
      <w:pPr>
        <w:pStyle w:val="ListParagraph"/>
        <w:numPr>
          <w:ilvl w:val="0"/>
          <w:numId w:val="3"/>
        </w:numPr>
        <w:spacing w:after="30"/>
      </w:pPr>
      <w:r>
        <w:t xml:space="preserve">Purpose code is selected to satisfy SARB Balance of Payments reporting requirements.</w:t>
      </w:r>
    </w:p>
    <w:p>
      <w:pPr>
        <w:pStyle w:val="Heading2"/>
      </w:pPr>
      <w:r>
        <w:t xml:space="preserve">3.2 Stage 2 - Compliance and Regulatory Screening</w:t>
      </w:r>
    </w:p>
    <w:p>
      <w:pPr>
        <w:pStyle w:val="ListParagraph"/>
        <w:numPr>
          <w:ilvl w:val="0"/>
          <w:numId w:val="4"/>
        </w:numPr>
        <w:spacing w:after="30"/>
      </w:pPr>
      <w:r>
        <w:t xml:space="preserve">FICA verification confirms the originator's identity and, where applicable, source of funds.</w:t>
      </w:r>
    </w:p>
    <w:p>
      <w:pPr>
        <w:pStyle w:val="ListParagraph"/>
        <w:numPr>
          <w:ilvl w:val="0"/>
          <w:numId w:val="4"/>
        </w:numPr>
        <w:spacing w:after="30"/>
      </w:pPr>
      <w:r>
        <w:t xml:space="preserve">Sanctions and politically exposed person (PEP) screening is run against the Party records.</w:t>
      </w:r>
    </w:p>
    <w:p>
      <w:pPr>
        <w:pStyle w:val="ListParagraph"/>
        <w:numPr>
          <w:ilvl w:val="0"/>
          <w:numId w:val="4"/>
        </w:numPr>
        <w:spacing w:after="30"/>
      </w:pPr>
      <w:r>
        <w:t xml:space="preserve">For qualifying outward transfers of South African-sourced income (rental income, trust distributions, director's fees, royalties, dividends, pension or annuity payments), the Authorised Dealer verifies the originator's tax compliance status with SARS before the transfer may proceed, in line with the exchange control changes introduced via Circular 15 of 2025 and reinforced from March 2026.</w:t>
      </w:r>
    </w:p>
    <w:p>
      <w:pPr>
        <w:pStyle w:val="ListParagraph"/>
        <w:numPr>
          <w:ilvl w:val="0"/>
          <w:numId w:val="4"/>
        </w:numPr>
        <w:spacing w:after="30"/>
      </w:pPr>
      <w:r>
        <w:t xml:space="preserve">Where the transaction exceeds the individual's single discretionary allowance or foreign investment allowance, additional SARB approval or a Tax Compliance Status PIN for an Approval of International Transfer (AIT) is obtained.</w:t>
      </w:r>
    </w:p>
    <w:p>
      <w:pPr>
        <w:pStyle w:val="Heading2"/>
      </w:pPr>
      <w:r>
        <w:t xml:space="preserve">3.3 Stage 3 - Authorisation and FX Conversion</w:t>
      </w:r>
    </w:p>
    <w:p>
      <w:pPr>
        <w:pStyle w:val="ListParagraph"/>
        <w:numPr>
          <w:ilvl w:val="0"/>
          <w:numId w:val="5"/>
        </w:numPr>
        <w:spacing w:after="30"/>
      </w:pPr>
      <w:r>
        <w:t xml:space="preserve">The Authorised Dealer applies the exchange rate, calculates fees and margin, and confirms the settlement amount.</w:t>
      </w:r>
    </w:p>
    <w:p>
      <w:pPr>
        <w:pStyle w:val="ListParagraph"/>
        <w:numPr>
          <w:ilvl w:val="0"/>
          <w:numId w:val="5"/>
        </w:numPr>
        <w:spacing w:after="30"/>
      </w:pPr>
      <w:r>
        <w:t xml:space="preserve">Internal approval limits and four-eyes review are applied for high-value or high-risk transactions.</w:t>
      </w:r>
    </w:p>
    <w:p>
      <w:pPr>
        <w:pStyle w:val="ListParagraph"/>
        <w:numPr>
          <w:ilvl w:val="0"/>
          <w:numId w:val="5"/>
        </w:numPr>
        <w:spacing w:after="30"/>
      </w:pPr>
      <w:r>
        <w:t xml:space="preserve">The instruction is formatted into the appropriate message standard (SWIFT MT103/pacs.008 ISO 20022, or scheme-specific format for SADC-RTGS/PAPSS).</w:t>
      </w:r>
    </w:p>
    <w:p>
      <w:pPr>
        <w:pStyle w:val="Heading2"/>
      </w:pPr>
      <w:r>
        <w:t xml:space="preserve">3.4 Stage 4 - Routing and Settlement</w:t>
      </w:r>
    </w:p>
    <w:p>
      <w:pPr>
        <w:pStyle w:val="ListParagraph"/>
        <w:numPr>
          <w:ilvl w:val="0"/>
          <w:numId w:val="6"/>
        </w:numPr>
        <w:spacing w:after="30"/>
      </w:pPr>
      <w:r>
        <w:t xml:space="preserve">The message is transmitted to the correspondent bank or directly into the relevant clearing scheme.</w:t>
      </w:r>
    </w:p>
    <w:p>
      <w:pPr>
        <w:pStyle w:val="ListParagraph"/>
        <w:numPr>
          <w:ilvl w:val="0"/>
          <w:numId w:val="6"/>
        </w:numPr>
        <w:spacing w:after="30"/>
      </w:pPr>
      <w:r>
        <w:t xml:space="preserve">Nostro/vostro account entries are posted, and the settlement leg(s) are recorded against the Payment Instruction.</w:t>
      </w:r>
    </w:p>
    <w:p>
      <w:pPr>
        <w:pStyle w:val="ListParagraph"/>
        <w:numPr>
          <w:ilvl w:val="0"/>
          <w:numId w:val="6"/>
        </w:numPr>
        <w:spacing w:after="30"/>
      </w:pPr>
      <w:r>
        <w:t xml:space="preserve">For SWIFT gpi-tracked payments, status updates are received and reconciled against the UETR throughout the routing chain.</w:t>
      </w:r>
    </w:p>
    <w:p>
      <w:pPr>
        <w:pStyle w:val="Heading2"/>
      </w:pPr>
      <w:r>
        <w:t xml:space="preserve">3.5 Stage 5 - Confirmation, Reporting, and Reconciliation</w:t>
      </w:r>
    </w:p>
    <w:p>
      <w:pPr>
        <w:pStyle w:val="ListParagraph"/>
        <w:numPr>
          <w:ilvl w:val="0"/>
          <w:numId w:val="7"/>
        </w:numPr>
        <w:spacing w:after="30"/>
      </w:pPr>
      <w:r>
        <w:t xml:space="preserve">Beneficiary bank confirms credit to the beneficiary account; status is updated to settled.</w:t>
      </w:r>
    </w:p>
    <w:p>
      <w:pPr>
        <w:pStyle w:val="ListParagraph"/>
        <w:numPr>
          <w:ilvl w:val="0"/>
          <w:numId w:val="7"/>
        </w:numPr>
        <w:spacing w:after="30"/>
      </w:pPr>
      <w:r>
        <w:t xml:space="preserve">Balance of Payments data is reported to SARB based on the purpose code and transaction value.</w:t>
      </w:r>
    </w:p>
    <w:p>
      <w:pPr>
        <w:pStyle w:val="ListParagraph"/>
        <w:numPr>
          <w:ilvl w:val="0"/>
          <w:numId w:val="7"/>
        </w:numPr>
        <w:spacing w:after="30"/>
      </w:pPr>
      <w:r>
        <w:t xml:space="preserve">Any Suspicious Transaction Reports identified during or after processing are filed with the Financial Intelligence Centre.</w:t>
      </w:r>
    </w:p>
    <w:p>
      <w:pPr>
        <w:pStyle w:val="ListParagraph"/>
        <w:numPr>
          <w:ilvl w:val="0"/>
          <w:numId w:val="7"/>
        </w:numPr>
        <w:spacing w:after="30"/>
      </w:pPr>
      <w:r>
        <w:t xml:space="preserve">Reconciliation jobs match settlement confirmations against ledger entries and flag exceptions for investigation.</w:t>
      </w:r>
    </w:p>
    <w:p>
      <w:r>
        <w:br w:type="page"/>
      </w:r>
    </w:p>
    <w:p>
      <w:pPr>
        <w:pStyle w:val="Heading1"/>
      </w:pPr>
      <w:r>
        <w:t xml:space="preserve">4. Regulatory Framework</w:t>
      </w:r>
    </w:p>
    <w:p>
      <w:pPr>
        <w:spacing w:after="110"/>
      </w:pPr>
      <w:r>
        <w:t xml:space="preserve">Cross-border payments in South Africa are governed by a combination of exchange control rules, payment system legislation, and financial crime compliance law. The framework is undergoing active modernisation, and institutions should track both enacted rules and rules currently in consultation.</w:t>
      </w:r>
    </w:p>
    <w:p>
      <w:pPr>
        <w:pStyle w:val="Heading2"/>
      </w:pPr>
      <w:r>
        <w:t xml:space="preserve">4.1 Core Legislation and Regulators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80"/>
        <w:gridCol w:w="6200"/>
      </w:tblGrid>
      <w:tr>
        <w:trPr>
          <w:tblHeader/>
        </w:trPr>
        <w:tc>
          <w:tcPr>
            <w:tcW w:type="dxa" w:w="388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jc w:val="left"/>
            </w:pPr>
            <w:r>
              <w:rPr>
                <w:b/>
                <w:bCs/>
                <w:color w:val="FFFFFF"/>
                <w:sz w:val="18"/>
                <w:szCs w:val="18"/>
              </w:rPr>
              <w:t xml:space="preserve">Instrument / Body</w:t>
            </w:r>
          </w:p>
        </w:tc>
        <w:tc>
          <w:tcPr>
            <w:tcW w:type="dxa" w:w="62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jc w:val="left"/>
            </w:pPr>
            <w:r>
              <w:rPr>
                <w:b/>
                <w:bCs/>
                <w:color w:val="FFFFFF"/>
                <w:sz w:val="18"/>
                <w:szCs w:val="18"/>
              </w:rPr>
              <w:t xml:space="preserve">Relevance to Cross-Border Payments</w:t>
            </w:r>
          </w:p>
        </w:tc>
      </w:tr>
      <w:tr>
        <w:tc>
          <w:tcPr>
            <w:tcW w:type="dxa" w:w="3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Exchange Control Regulations (1961), administered by SARB Financial Surveillance Department</w:t>
            </w:r>
          </w:p>
        </w:tc>
        <w:tc>
          <w:tcPr>
            <w:tcW w:type="dxa" w:w="6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Governs permissible cross-border transfers, discretionary allowances, and the authorisation of Authorised Dealers and ADLAs.</w:t>
            </w:r>
          </w:p>
        </w:tc>
      </w:tr>
      <w:tr>
        <w:tc>
          <w:tcPr>
            <w:tcW w:type="dxa" w:w="38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National Payment System Act 78 of 1998</w:t>
            </w:r>
          </w:p>
        </w:tc>
        <w:tc>
          <w:tcPr>
            <w:tcW w:type="dxa" w:w="62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Establishes SARB's mandate to oversee clearing and settlement systems; a new National Payment System Bill is in development to extend direct, regulated access to non-bank payment service providers.</w:t>
            </w:r>
          </w:p>
        </w:tc>
      </w:tr>
      <w:tr>
        <w:tc>
          <w:tcPr>
            <w:tcW w:type="dxa" w:w="3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Financial Intelligence Centre Act 38 of 2001 (FICA)</w:t>
            </w:r>
          </w:p>
        </w:tc>
        <w:tc>
          <w:tcPr>
            <w:tcW w:type="dxa" w:w="6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Sets customer due diligence, record-keeping, and suspicious transaction reporting obligations for all accountable institutions handling cross-border funds.</w:t>
            </w:r>
          </w:p>
        </w:tc>
      </w:tr>
      <w:tr>
        <w:tc>
          <w:tcPr>
            <w:tcW w:type="dxa" w:w="38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Financial Sector Conduct Authority (FSCA)</w:t>
            </w:r>
          </w:p>
        </w:tc>
        <w:tc>
          <w:tcPr>
            <w:tcW w:type="dxa" w:w="62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Supervises market conduct of payment service providers and ADLAs operating in the retail cross-border space.</w:t>
            </w:r>
          </w:p>
        </w:tc>
      </w:tr>
      <w:tr>
        <w:tc>
          <w:tcPr>
            <w:tcW w:type="dxa" w:w="3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South African Revenue Service (SARS)</w:t>
            </w:r>
          </w:p>
        </w:tc>
        <w:tc>
          <w:tcPr>
            <w:tcW w:type="dxa" w:w="6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Since the SARB directive effective 1 March 2026, verifies tax compliance status before Authorised Dealers may process qualifying outward remittances of South African-sourced income.</w:t>
            </w:r>
          </w:p>
        </w:tc>
      </w:tr>
      <w:tr>
        <w:tc>
          <w:tcPr>
            <w:tcW w:type="dxa" w:w="388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Prudential Authority (within SARB)</w:t>
            </w:r>
          </w:p>
        </w:tc>
        <w:tc>
          <w:tcPr>
            <w:tcW w:type="dxa" w:w="62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Issues exemption notices and draft directives defining which payment activities non-banks may perform and the prudential requirements attached.</w:t>
            </w:r>
          </w:p>
        </w:tc>
      </w:tr>
    </w:tbl>
    <w:p>
      <w:pPr>
        <w:pStyle w:val="Heading2"/>
      </w:pPr>
      <w:r>
        <w:t xml:space="preserve">4.2 Recent and In-Progress Regulatory Developments</w:t>
      </w:r>
    </w:p>
    <w:p>
      <w:pPr>
        <w:pStyle w:val="ListParagraph"/>
        <w:numPr>
          <w:ilvl w:val="0"/>
          <w:numId w:val="2"/>
        </w:numPr>
        <w:spacing w:after="30"/>
      </w:pPr>
      <w:r>
        <w:t xml:space="preserve">Exchange Control Circular 15 of 2025 introduced mandatory SARS tax-status verification for outward transfers of locally sourced income such as rental income, trust distributions, director's fees, royalties, dividends, and pension or annuity payments.</w:t>
      </w:r>
    </w:p>
    <w:p>
      <w:pPr>
        <w:pStyle w:val="ListParagraph"/>
        <w:numPr>
          <w:ilvl w:val="0"/>
          <w:numId w:val="2"/>
        </w:numPr>
        <w:spacing w:after="30"/>
      </w:pPr>
      <w:r>
        <w:t xml:space="preserve">From 1 March 2026, SARB directives require Authorised Dealers to obtain a Tax Compliance Status PIN for an Approval of International Transfer (AIT), or a manual compliance letter, before processing qualifying offshore remittances.</w:t>
      </w:r>
    </w:p>
    <w:p>
      <w:pPr>
        <w:pStyle w:val="ListParagraph"/>
        <w:numPr>
          <w:ilvl w:val="0"/>
          <w:numId w:val="2"/>
        </w:numPr>
        <w:spacing w:after="30"/>
      </w:pPr>
      <w:r>
        <w:t xml:space="preserve">Draft exchange control circulars published for public comment in early 2026 propose revised limits for cross-border payments and investments and aim to streamline related administrative processes, following the 2026 Budget commitments to strengthen anti-money laundering controls.</w:t>
      </w:r>
    </w:p>
    <w:p>
      <w:pPr>
        <w:pStyle w:val="ListParagraph"/>
        <w:numPr>
          <w:ilvl w:val="0"/>
          <w:numId w:val="2"/>
        </w:numPr>
        <w:spacing w:after="30"/>
      </w:pPr>
      <w:r>
        <w:t xml:space="preserve">A draft National Payment System Bill and an associated Authorisation Framework and Exemption Notice are progressing through consultation, intended to allow regulated non-bank payment service providers direct, activity-based access to clearing and settlement, including cross-border functions, without mandatory bank sponsorship.</w:t>
      </w:r>
    </w:p>
    <w:p>
      <w:pPr>
        <w:pStyle w:val="ListParagraph"/>
        <w:numPr>
          <w:ilvl w:val="0"/>
          <w:numId w:val="2"/>
        </w:numPr>
        <w:spacing w:after="30"/>
      </w:pPr>
      <w:r>
        <w:t xml:space="preserve">SARB's NPS 2030+ Consultation Paper (February 2026) and continued engagement with initiatives such as the BIS Project Nexus and the Pan-African Payment and Settlement System point toward greater regional interoperability and faster, cheaper cross-border settlement over the medium term.</w:t>
      </w:r>
    </w:p>
    <w:p>
      <w:pPr>
        <w:pStyle w:val="Heading2"/>
      </w:pPr>
      <w:r>
        <w:t xml:space="preserve">4.3 Compliance Obligations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4520"/>
        <w:gridCol w:w="2660"/>
      </w:tblGrid>
      <w:tr>
        <w:trPr>
          <w:tblHeader/>
        </w:trPr>
        <w:tc>
          <w:tcPr>
            <w:tcW w:type="dxa" w:w="29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jc w:val="left"/>
            </w:pPr>
            <w:r>
              <w:rPr>
                <w:b/>
                <w:bCs/>
                <w:color w:val="FFFFFF"/>
                <w:sz w:val="18"/>
                <w:szCs w:val="18"/>
              </w:rPr>
              <w:t xml:space="preserve">Obligation</w:t>
            </w:r>
          </w:p>
        </w:tc>
        <w:tc>
          <w:tcPr>
            <w:tcW w:type="dxa" w:w="452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jc w:val="left"/>
            </w:pPr>
            <w:r>
              <w:rPr>
                <w:b/>
                <w:bCs/>
                <w:color w:val="FFFFFF"/>
                <w:sz w:val="18"/>
                <w:szCs w:val="18"/>
              </w:rPr>
              <w:t xml:space="preserve">Trigger / Threshold</w:t>
            </w:r>
          </w:p>
        </w:tc>
        <w:tc>
          <w:tcPr>
            <w:tcW w:type="dxa" w:w="26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jc w:val="left"/>
            </w:pPr>
            <w:r>
              <w:rPr>
                <w:b/>
                <w:bCs/>
                <w:color w:val="FFFFFF"/>
                <w:sz w:val="18"/>
                <w:szCs w:val="18"/>
              </w:rPr>
              <w:t xml:space="preserve">Owner</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Customer due diligence (FICA)</w:t>
            </w:r>
          </w:p>
        </w:tc>
        <w:tc>
          <w:tcPr>
            <w:tcW w:type="dxa" w:w="45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Onboarding and ongoing monitoring of all customers initiating cross-border transfers</w:t>
            </w:r>
          </w:p>
        </w:tc>
        <w:tc>
          <w:tcPr>
            <w:tcW w:type="dxa" w:w="2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Accountable institution (bank/ADLA)</w:t>
            </w:r>
          </w:p>
        </w:tc>
      </w:tr>
      <w:tr>
        <w:tc>
          <w:tcPr>
            <w:tcW w:type="dxa" w:w="29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Sanctions and PEP screening</w:t>
            </w:r>
          </w:p>
        </w:tc>
        <w:tc>
          <w:tcPr>
            <w:tcW w:type="dxa" w:w="452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Every cross-border instruction prior to release</w:t>
            </w:r>
          </w:p>
        </w:tc>
        <w:tc>
          <w:tcPr>
            <w:tcW w:type="dxa" w:w="266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Compliance / AML function</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SARS tax compliance verification</w:t>
            </w:r>
          </w:p>
        </w:tc>
        <w:tc>
          <w:tcPr>
            <w:tcW w:type="dxa" w:w="45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Outward transfer of South African-sourced income (rental, trust, director fees, royalties, dividends, pension/annuity)</w:t>
            </w:r>
          </w:p>
        </w:tc>
        <w:tc>
          <w:tcPr>
            <w:tcW w:type="dxa" w:w="2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Authorised Dealer</w:t>
            </w:r>
          </w:p>
        </w:tc>
      </w:tr>
      <w:tr>
        <w:tc>
          <w:tcPr>
            <w:tcW w:type="dxa" w:w="29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SARB approval / AIT</w:t>
            </w:r>
          </w:p>
        </w:tc>
        <w:tc>
          <w:tcPr>
            <w:tcW w:type="dxa" w:w="452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Transfers exceeding discretionary or foreign investment allowances</w:t>
            </w:r>
          </w:p>
        </w:tc>
        <w:tc>
          <w:tcPr>
            <w:tcW w:type="dxa" w:w="266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Authorised Dealer, with SARB</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Suspicious Transaction Reporting</w:t>
            </w:r>
          </w:p>
        </w:tc>
        <w:tc>
          <w:tcPr>
            <w:tcW w:type="dxa" w:w="45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Any transaction with unusual or unexplained characteristics</w:t>
            </w:r>
          </w:p>
        </w:tc>
        <w:tc>
          <w:tcPr>
            <w:tcW w:type="dxa" w:w="2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1A1A1A"/>
                <w:sz w:val="18"/>
                <w:szCs w:val="18"/>
              </w:rPr>
              <w:t xml:space="preserve">Compliance function, reported to the FIC</w:t>
            </w:r>
          </w:p>
        </w:tc>
      </w:tr>
      <w:tr>
        <w:tc>
          <w:tcPr>
            <w:tcW w:type="dxa" w:w="290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Balance of Payments reporting</w:t>
            </w:r>
          </w:p>
        </w:tc>
        <w:tc>
          <w:tcPr>
            <w:tcW w:type="dxa" w:w="452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All cross-border transactions, categorised by purpose code</w:t>
            </w:r>
          </w:p>
        </w:tc>
        <w:tc>
          <w:tcPr>
            <w:tcW w:type="dxa" w:w="2660"/>
            <w:tcBorders>
              <w:top w:val="single" w:color="CCCCCC" w:sz="1"/>
              <w:left w:val="single" w:color="CCCCCC" w:sz="1"/>
              <w:bottom w:val="single" w:color="CCCCCC" w:sz="1"/>
              <w:right w:val="single" w:color="CCCCCC" w:sz="1"/>
            </w:tcBorders>
            <w:shd w:fill="EEF2F7" w:val="clear"/>
            <w:tcMar>
              <w:top w:type="dxa" w:w="60"/>
              <w:left w:type="dxa" w:w="110"/>
              <w:bottom w:type="dxa" w:w="60"/>
              <w:right w:type="dxa" w:w="110"/>
            </w:tcMar>
            <w:vAlign w:val="center"/>
          </w:tcPr>
          <w:p>
            <w:pPr>
              <w:jc w:val="left"/>
            </w:pPr>
            <w:r>
              <w:rPr>
                <w:b w:val="false"/>
                <w:bCs w:val="false"/>
                <w:color w:val="1A1A1A"/>
                <w:sz w:val="18"/>
                <w:szCs w:val="18"/>
              </w:rPr>
              <w:t xml:space="preserve">Authorised Dealer, reported to SARB</w:t>
            </w:r>
          </w:p>
        </w:tc>
      </w:tr>
    </w:tbl>
    <w:p>
      <w:pPr>
        <w:pStyle w:val="Heading1"/>
      </w:pPr>
      <w:r>
        <w:t xml:space="preserve">5. Best Practices for Implementation</w:t>
      </w:r>
    </w:p>
    <w:p>
      <w:pPr>
        <w:spacing w:after="110"/>
      </w:pPr>
      <w:r>
        <w:t xml:space="preserve">The following practices reduce compliance risk, improve straight-through processing rates, and prepare institutions for the ongoing shift toward non-bank participation and regional interoperability.</w:t>
      </w:r>
    </w:p>
    <w:p>
      <w:pPr>
        <w:pStyle w:val="Heading2"/>
      </w:pPr>
      <w:r>
        <w:t xml:space="preserve">5.1 Data and Architecture</w:t>
      </w:r>
    </w:p>
    <w:p>
      <w:pPr>
        <w:pStyle w:val="ListParagraph"/>
        <w:numPr>
          <w:ilvl w:val="0"/>
          <w:numId w:val="2"/>
        </w:numPr>
        <w:spacing w:after="30"/>
      </w:pPr>
      <w:r>
        <w:t xml:space="preserve">Adopt ISO 20022 (pacs.008/pacs.009) message structures natively rather than translating from legacy MT formats, to future-proof integration with SWIFT, SADC-RTGS, and PAPSS.</w:t>
      </w:r>
    </w:p>
    <w:p>
      <w:pPr>
        <w:pStyle w:val="ListParagraph"/>
        <w:numPr>
          <w:ilvl w:val="0"/>
          <w:numId w:val="2"/>
        </w:numPr>
        <w:spacing w:after="30"/>
      </w:pPr>
      <w:r>
        <w:t xml:space="preserve">Maintain a single, canonical Party and Account model shared across channels so that FICA verification and sanctions screening results are reused rather than re-collected per transaction.</w:t>
      </w:r>
    </w:p>
    <w:p>
      <w:pPr>
        <w:pStyle w:val="ListParagraph"/>
        <w:numPr>
          <w:ilvl w:val="0"/>
          <w:numId w:val="2"/>
        </w:numPr>
        <w:spacing w:after="30"/>
      </w:pPr>
      <w:r>
        <w:t xml:space="preserve">Persist an immutable Status Event log per transaction (append-only) to satisfy audit and dispute-resolution requirements, and to support SWIFT gpi-style end-to-end tracking.</w:t>
      </w:r>
    </w:p>
    <w:p>
      <w:pPr>
        <w:pStyle w:val="ListParagraph"/>
        <w:numPr>
          <w:ilvl w:val="0"/>
          <w:numId w:val="2"/>
        </w:numPr>
        <w:spacing w:after="30"/>
      </w:pPr>
      <w:r>
        <w:t xml:space="preserve">Tag every transaction with a Balance of Payments purpose code at the point of capture, rather than retrofitting it during reporting, to reduce reconciliation breaks.</w:t>
      </w:r>
    </w:p>
    <w:p>
      <w:pPr>
        <w:pStyle w:val="Heading2"/>
      </w:pPr>
      <w:r>
        <w:t xml:space="preserve">5.2 Compliance and Controls</w:t>
      </w:r>
    </w:p>
    <w:p>
      <w:pPr>
        <w:pStyle w:val="ListParagraph"/>
        <w:numPr>
          <w:ilvl w:val="0"/>
          <w:numId w:val="2"/>
        </w:numPr>
        <w:spacing w:after="30"/>
      </w:pPr>
      <w:r>
        <w:t xml:space="preserve">Build SARS tax-status verification into the payment workflow as a hard control point for qualifying outward transfers, rather than a manual side-process, given the directive effective 1 March 2026.</w:t>
      </w:r>
    </w:p>
    <w:p>
      <w:pPr>
        <w:pStyle w:val="ListParagraph"/>
        <w:numPr>
          <w:ilvl w:val="0"/>
          <w:numId w:val="2"/>
        </w:numPr>
        <w:spacing w:after="30"/>
      </w:pPr>
      <w:r>
        <w:t xml:space="preserve">Apply risk-based due diligence: scale verification depth to transaction value, corridor risk, and customer risk rating rather than a uniform process for all transactions.</w:t>
      </w:r>
    </w:p>
    <w:p>
      <w:pPr>
        <w:pStyle w:val="ListParagraph"/>
        <w:numPr>
          <w:ilvl w:val="0"/>
          <w:numId w:val="2"/>
        </w:numPr>
        <w:spacing w:after="30"/>
      </w:pPr>
      <w:r>
        <w:t xml:space="preserve">Re-screen standing or recurring beneficiaries periodically against sanctions and PEP lists, not only at initial onboarding, since list updates occur continuously.</w:t>
      </w:r>
    </w:p>
    <w:p>
      <w:pPr>
        <w:pStyle w:val="ListParagraph"/>
        <w:numPr>
          <w:ilvl w:val="0"/>
          <w:numId w:val="2"/>
        </w:numPr>
        <w:spacing w:after="30"/>
      </w:pPr>
      <w:r>
        <w:t xml:space="preserve">Maintain documented escalation paths for transactions approaching or exceeding discretionary and foreign investment allowance thresholds, so frontline staff are not making ad hoc SARB-approval judgement calls.</w:t>
      </w:r>
    </w:p>
    <w:p>
      <w:pPr>
        <w:pStyle w:val="Heading2"/>
      </w:pPr>
      <w:r>
        <w:t xml:space="preserve">5.3 Operational Resilience</w:t>
      </w:r>
    </w:p>
    <w:p>
      <w:pPr>
        <w:pStyle w:val="ListParagraph"/>
        <w:numPr>
          <w:ilvl w:val="0"/>
          <w:numId w:val="2"/>
        </w:numPr>
        <w:spacing w:after="30"/>
      </w:pPr>
      <w:r>
        <w:t xml:space="preserve">Reconcile nostro/vostro positions and settlement confirmations on a same-day basis to detect failed or delayed legs before they compound into customer-facing issues.</w:t>
      </w:r>
    </w:p>
    <w:p>
      <w:pPr>
        <w:pStyle w:val="ListParagraph"/>
        <w:numPr>
          <w:ilvl w:val="0"/>
          <w:numId w:val="2"/>
        </w:numPr>
        <w:spacing w:after="30"/>
      </w:pPr>
      <w:r>
        <w:t xml:space="preserve">Where multiple correspondent banks are used for a corridor, maintain documented fallback routing so a single correspondent outage does not halt an entire payment corridor.</w:t>
      </w:r>
    </w:p>
    <w:p>
      <w:pPr>
        <w:pStyle w:val="ListParagraph"/>
        <w:numPr>
          <w:ilvl w:val="0"/>
          <w:numId w:val="2"/>
        </w:numPr>
        <w:spacing w:after="30"/>
      </w:pPr>
      <w:r>
        <w:t xml:space="preserve">Monitor regulatory consultation processes (SARB exchange control circulars, NPS Bill progress, Prudential Authority exemption notices) on a standing basis, since several frameworks are in active draft form and may change implementation timelines.</w:t>
      </w:r>
    </w:p>
    <w:p>
      <w:pPr>
        <w:pStyle w:val="Heading2"/>
      </w:pPr>
      <w:r>
        <w:t xml:space="preserve">5.4 Preparing for Market Evolution</w:t>
      </w:r>
    </w:p>
    <w:p>
      <w:pPr>
        <w:pStyle w:val="ListParagraph"/>
        <w:numPr>
          <w:ilvl w:val="0"/>
          <w:numId w:val="2"/>
        </w:numPr>
        <w:spacing w:after="30"/>
      </w:pPr>
      <w:r>
        <w:t xml:space="preserve">Evaluate readiness for non-bank direct participation in clearing and settlement under the emerging activity-based licensing regime, particularly if currently reliant on bank sponsorship.</w:t>
      </w:r>
    </w:p>
    <w:p>
      <w:pPr>
        <w:pStyle w:val="ListParagraph"/>
        <w:numPr>
          <w:ilvl w:val="0"/>
          <w:numId w:val="2"/>
        </w:numPr>
        <w:spacing w:after="30"/>
      </w:pPr>
      <w:r>
        <w:t xml:space="preserve">Assess exposure to regional schemes such as PAPSS that enable local-currency settlement, which can reduce cost and duration versus traditional US-dollar correspondent routing for intra-African corridors.</w:t>
      </w:r>
    </w:p>
    <w:p>
      <w:pPr>
        <w:pStyle w:val="ListParagraph"/>
        <w:numPr>
          <w:ilvl w:val="0"/>
          <w:numId w:val="2"/>
        </w:numPr>
        <w:spacing w:after="30"/>
      </w:pPr>
      <w:r>
        <w:t xml:space="preserve">Where serving retail remittance corridors, benchmark total cost to the customer (fees plus FX spread) against World Bank Remittance Prices Worldwide data, given increasing scrutiny on cost transparency.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24"/>
              <w:bottom w:val="single" w:color="1F3864" w:sz="4"/>
              <w:right w:val="single" w:color="1F3864" w:sz="4"/>
            </w:tcBorders>
            <w:shd w:fill="EEF2F7" w:val="clear"/>
            <w:tcMar>
              <w:top w:type="dxa" w:w="100"/>
              <w:left w:type="dxa" w:w="200"/>
              <w:bottom w:type="dxa" w:w="100"/>
              <w:right w:type="dxa" w:w="200"/>
            </w:tcMar>
          </w:tcPr>
          <w:p>
            <w:pPr>
              <w:spacing w:after="100"/>
            </w:pPr>
            <w:r>
              <w:rPr>
                <w:b/>
                <w:bCs/>
                <w:color w:val="1F3864"/>
                <w:sz w:val="22"/>
                <w:szCs w:val="22"/>
              </w:rPr>
              <w:t xml:space="preserve">Note on Currency</w:t>
            </w:r>
          </w:p>
          <w:p>
            <w:pPr>
              <w:spacing w:after="60"/>
            </w:pPr>
            <w:r>
              <w:rPr>
                <w:sz w:val="20"/>
                <w:szCs w:val="20"/>
              </w:rPr>
              <w:t xml:space="preserve">This document references the South African rand (ZAR) and foreign currencies generically, without citing FX rates. Always source live rates from an Authorised Dealer or market data provider at the time of transacting.</w:t>
            </w:r>
          </w:p>
        </w:tc>
      </w:tr>
    </w:tbl>
    <w:p>
      <w:pPr>
        <w:pBdr>
          <w:top w:val="single" w:color="CCCCCC" w:sz="4" w:space="6"/>
        </w:pBdr>
        <w:spacing w:after="0" w:before="140"/>
      </w:pPr>
      <w:r>
        <w:rPr>
          <w:i/>
          <w:iCs/>
          <w:color w:val="666666"/>
          <w:sz w:val="17"/>
          <w:szCs w:val="17"/>
        </w:rPr>
        <w:t xml:space="preserve">This briefing is a working reference and does not constitute legal, tax, or regulatory advice. Confirm current requirements with the South African Reserve Bank, the Financial Intelligence Centre, and SARS before implementation.</w:t>
      </w:r>
    </w:p>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6"/>
        <w:szCs w:val="16"/>
      </w:rPr>
      <w:t xml:space="preserve">Cross-Border Payments in South Africa</w:t>
    </w:r>
    <w:r>
      <w:rPr>
        <w:color w:val="888888"/>
        <w:sz w:val="16"/>
        <w:szCs w:val="16"/>
      </w:rPr>
      <w:t xml:space="preserve">	Reference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40" w:before="2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395"/>
      <w:sz w:val="24"/>
      <w:szCs w:val="24"/>
    </w:rPr>
  </w:style>
  <w:style w:type="paragraph" w:styleId="Heading3">
    <w:name w:val="Heading 3"/>
    <w:basedOn w:val="Normal"/>
    <w:next w:val="Normal"/>
    <w:qFormat/>
    <w:pPr>
      <w:spacing w:after="70" w:before="120"/>
      <w:outlineLvl w:val="2"/>
    </w:pPr>
    <w:rPr>
      <w:rFonts w:ascii="Arial" w:cs="Arial" w:eastAsia="Arial" w:hAnsi="Arial"/>
      <w:b/>
      <w:bCs/>
      <w:color w:val="3B6BB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2026-06-17T22:44:11.342Z</dcterms:created>
  <dcterms:modified xsi:type="dcterms:W3CDTF">2026-06-17T22:44:11.342Z</dcterms:modified>
</cp:coreProperties>
</file>

<file path=docProps/custom.xml><?xml version="1.0" encoding="utf-8"?>
<Properties xmlns="http://schemas.openxmlformats.org/officeDocument/2006/custom-properties" xmlns:vt="http://schemas.openxmlformats.org/officeDocument/2006/docPropsVTypes"/>
</file>