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61FE" w14:textId="77777777" w:rsidR="00233525" w:rsidRDefault="00000000">
      <w:pPr>
        <w:pStyle w:val="Ttulo"/>
        <w:numPr>
          <w:ilvl w:val="0"/>
          <w:numId w:val="6"/>
        </w:numPr>
      </w:pPr>
      <w:bookmarkStart w:id="0" w:name="_q48x83bedxt" w:colFirst="0" w:colLast="0"/>
      <w:bookmarkEnd w:id="0"/>
      <w:r>
        <w:t>Introducción y objetivo del trabajo</w:t>
      </w:r>
    </w:p>
    <w:p w14:paraId="7FF561FF" w14:textId="77777777" w:rsidR="00233525" w:rsidRDefault="00233525">
      <w:pPr>
        <w:pStyle w:val="Subttulo"/>
      </w:pPr>
      <w:bookmarkStart w:id="1" w:name="_wsayluenwzbr" w:colFirst="0" w:colLast="0"/>
      <w:bookmarkEnd w:id="1"/>
    </w:p>
    <w:p w14:paraId="7FF56200" w14:textId="77777777" w:rsidR="00233525" w:rsidRDefault="00000000">
      <w:pPr>
        <w:pStyle w:val="Subttulo"/>
      </w:pPr>
      <w:bookmarkStart w:id="2" w:name="_u20y5649r95g" w:colFirst="0" w:colLast="0"/>
      <w:bookmarkEnd w:id="2"/>
      <w:r>
        <w:t>1.1 Contexto del municipio</w:t>
      </w:r>
    </w:p>
    <w:p w14:paraId="7FF56201" w14:textId="77777777" w:rsidR="00233525" w:rsidRDefault="00000000">
      <w:r>
        <w:t>Torrevieja es un municipio costero de la provincia de Alicante con un modelo turístico marcadamente residencial: la mayor parte de los visitantes no se alojan en hoteles sino en viviendas propias o arrendadas. Este rasgo estructural convierte al municipio en un laboratorio excepcional para el estudio del alojamiento vacacional. Las plataformas digitales (Airbnb, Booking, etc.) han amplificado y acelerado esta tendencia durante la última década, transformando una práctica informal en un sector económico con regulación propia y creciente peso institucional.</w:t>
      </w:r>
    </w:p>
    <w:p w14:paraId="7FF56202" w14:textId="77777777" w:rsidR="00233525" w:rsidRDefault="00233525"/>
    <w:p w14:paraId="7FF56203" w14:textId="77777777" w:rsidR="00233525" w:rsidRDefault="00000000">
      <w:r>
        <w:t>El municipio cuenta con cerca de 120.000 habitantes empadronados, aunque su población flotante puede triplicar esa cifra en temporada alta. El parque de viviendas supera las 123.000 unidades censadas (INE 2021), de las cuales aproximadamente el 80% son de uso no habitual por sus propietarios, es decir, secundarias o vacías. Esta característica define el ecosistema en el que operan las Viviendas de Uso Turístico (VUT) y explica por qué su análisis resulta especialmente relevante aquí.</w:t>
      </w:r>
    </w:p>
    <w:p w14:paraId="7FF56204" w14:textId="77777777" w:rsidR="00233525" w:rsidRDefault="00233525"/>
    <w:p w14:paraId="7FF56205" w14:textId="77777777" w:rsidR="00233525" w:rsidRDefault="00000000">
      <w:pPr>
        <w:pStyle w:val="Subttulo"/>
      </w:pPr>
      <w:bookmarkStart w:id="3" w:name="_4cfabjrspp1m" w:colFirst="0" w:colLast="0"/>
      <w:bookmarkEnd w:id="3"/>
      <w:r>
        <w:t>1.2 Objetivo</w:t>
      </w:r>
    </w:p>
    <w:p w14:paraId="7FF56206" w14:textId="13F4BD66" w:rsidR="00233525" w:rsidRDefault="00000000">
      <w:r>
        <w:t>Este informe da respuesta a los cuatro retos planteados en la tercera práctica de la asignatura de Minería de Datos. Cada reto constituye unas preguntas de investigación diferentes sobre Torrevieja</w:t>
      </w:r>
      <w:r w:rsidR="00D45906">
        <w:t>.</w:t>
      </w:r>
    </w:p>
    <w:p w14:paraId="7FF56207" w14:textId="77777777" w:rsidR="00233525" w:rsidRDefault="00233525"/>
    <w:p w14:paraId="7FF56208" w14:textId="289174D3" w:rsidR="00233525" w:rsidRPr="00162C66" w:rsidRDefault="00D45906" w:rsidP="00162C66">
      <w:pPr>
        <w:pStyle w:val="Ttulo"/>
        <w:ind w:left="720"/>
      </w:pPr>
      <w:r w:rsidRPr="00162C66">
        <w:t xml:space="preserve">4. </w:t>
      </w:r>
      <w:r w:rsidR="00000000" w:rsidRPr="00162C66">
        <w:t>Reto 3 - Viviendas de Uso Turístico (VUT)</w:t>
      </w:r>
    </w:p>
    <w:p w14:paraId="7FF56209" w14:textId="77777777" w:rsidR="00233525" w:rsidRDefault="00233525">
      <w:pPr>
        <w:rPr>
          <w:b/>
          <w:bCs/>
        </w:rPr>
      </w:pPr>
    </w:p>
    <w:p w14:paraId="7FF5620A" w14:textId="77777777" w:rsidR="00233525" w:rsidRDefault="00000000">
      <w:pPr>
        <w:pBdr>
          <w:top w:val="nil"/>
          <w:left w:val="nil"/>
          <w:bottom w:val="nil"/>
          <w:right w:val="nil"/>
          <w:between w:val="nil"/>
        </w:pBdr>
      </w:pPr>
      <w:r>
        <w:t>Las Viviendas de Uso Turístico (VUT) constituyen una parte central del sistema de alojamiento de Torrevieja. El objetivo de este reto es analizar su dimensión, evolución y distribución territorial, así como discutir su papel dentro del modelo turístico residencial.</w:t>
      </w:r>
    </w:p>
    <w:p w14:paraId="7FF5620B" w14:textId="77777777" w:rsidR="00233525" w:rsidRDefault="00233525">
      <w:pPr>
        <w:pBdr>
          <w:top w:val="nil"/>
          <w:left w:val="nil"/>
          <w:bottom w:val="nil"/>
          <w:right w:val="nil"/>
          <w:between w:val="nil"/>
        </w:pBdr>
      </w:pPr>
    </w:p>
    <w:p w14:paraId="7FF5620C" w14:textId="77777777" w:rsidR="00233525" w:rsidRDefault="00000000">
      <w:pPr>
        <w:pBdr>
          <w:top w:val="nil"/>
          <w:left w:val="nil"/>
          <w:bottom w:val="nil"/>
          <w:right w:val="nil"/>
          <w:between w:val="nil"/>
        </w:pBdr>
      </w:pPr>
      <w:r>
        <w:t>En este reto debemos explorar qué información oficial existe sobre las VUT, qué puede medirse con los datos disponibles y qué cuestiones relevantes quedan fuera de esos datos. También analizaremos la concentración espacial de estas viviendas y debatiremos qué efectos puede tener sobre determinadas zonas del municipio.</w:t>
      </w:r>
    </w:p>
    <w:p w14:paraId="7FF5620D" w14:textId="77777777" w:rsidR="00233525" w:rsidRDefault="00233525">
      <w:pPr>
        <w:pBdr>
          <w:top w:val="nil"/>
          <w:left w:val="nil"/>
          <w:bottom w:val="nil"/>
          <w:right w:val="nil"/>
          <w:between w:val="nil"/>
        </w:pBdr>
      </w:pPr>
    </w:p>
    <w:p w14:paraId="7FF5620E" w14:textId="77777777" w:rsidR="00233525" w:rsidRDefault="00000000">
      <w:pPr>
        <w:pBdr>
          <w:top w:val="nil"/>
          <w:left w:val="nil"/>
          <w:bottom w:val="nil"/>
          <w:right w:val="nil"/>
          <w:between w:val="nil"/>
        </w:pBdr>
      </w:pPr>
      <w:r>
        <w:t>Se espera que el análisis permita responder, en la medida de lo posible, a las siguientes preguntas:</w:t>
      </w:r>
    </w:p>
    <w:p w14:paraId="7FF5620F" w14:textId="77777777" w:rsidR="00233525" w:rsidRDefault="00000000">
      <w:pPr>
        <w:numPr>
          <w:ilvl w:val="0"/>
          <w:numId w:val="8"/>
        </w:numPr>
        <w:pBdr>
          <w:top w:val="nil"/>
          <w:left w:val="nil"/>
          <w:bottom w:val="nil"/>
          <w:right w:val="nil"/>
          <w:between w:val="nil"/>
        </w:pBdr>
      </w:pPr>
      <w:r>
        <w:t>cuántas VUT pueden identificarse,</w:t>
      </w:r>
    </w:p>
    <w:p w14:paraId="7FF56210" w14:textId="77777777" w:rsidR="00233525" w:rsidRDefault="00000000">
      <w:pPr>
        <w:numPr>
          <w:ilvl w:val="0"/>
          <w:numId w:val="8"/>
        </w:numPr>
        <w:pBdr>
          <w:top w:val="nil"/>
          <w:left w:val="nil"/>
          <w:bottom w:val="nil"/>
          <w:right w:val="nil"/>
          <w:between w:val="nil"/>
        </w:pBdr>
      </w:pPr>
      <w:r>
        <w:t>cómo han evolucionado,</w:t>
      </w:r>
    </w:p>
    <w:p w14:paraId="7FF56211" w14:textId="77777777" w:rsidR="00233525" w:rsidRDefault="00000000">
      <w:pPr>
        <w:numPr>
          <w:ilvl w:val="0"/>
          <w:numId w:val="8"/>
        </w:numPr>
        <w:pBdr>
          <w:top w:val="nil"/>
          <w:left w:val="nil"/>
          <w:bottom w:val="nil"/>
          <w:right w:val="nil"/>
          <w:between w:val="nil"/>
        </w:pBdr>
      </w:pPr>
      <w:r>
        <w:t>dónde se concentran,</w:t>
      </w:r>
    </w:p>
    <w:p w14:paraId="7FF56212" w14:textId="77777777" w:rsidR="00233525" w:rsidRDefault="00000000">
      <w:pPr>
        <w:numPr>
          <w:ilvl w:val="0"/>
          <w:numId w:val="8"/>
        </w:numPr>
        <w:pBdr>
          <w:top w:val="nil"/>
          <w:left w:val="nil"/>
          <w:bottom w:val="nil"/>
          <w:right w:val="nil"/>
          <w:between w:val="nil"/>
        </w:pBdr>
      </w:pPr>
      <w:r>
        <w:t>y qué limitaciones tienen las fuentes oficiales para describir la oferta real de alojamiento turístico.</w:t>
      </w:r>
    </w:p>
    <w:p w14:paraId="7FF56213" w14:textId="77777777" w:rsidR="00233525" w:rsidRDefault="00000000">
      <w:pPr>
        <w:pBdr>
          <w:top w:val="nil"/>
          <w:left w:val="nil"/>
          <w:bottom w:val="nil"/>
          <w:right w:val="nil"/>
          <w:between w:val="nil"/>
        </w:pBdr>
      </w:pPr>
      <w:r>
        <w:t>El análisis combina estadística descriptiva, visualización de datos, clustering (K-Means) y regresión lineal para responder a estas preguntas de forma rigurosa, poniendo especial atención en las advertencias metodológicas necesarias para una interpretación correcta de los resultados.</w:t>
      </w:r>
    </w:p>
    <w:p w14:paraId="7FF56214" w14:textId="77777777" w:rsidR="00233525" w:rsidRDefault="00233525">
      <w:pPr>
        <w:pBdr>
          <w:top w:val="nil"/>
          <w:left w:val="nil"/>
          <w:bottom w:val="nil"/>
          <w:right w:val="nil"/>
          <w:between w:val="nil"/>
        </w:pBdr>
      </w:pPr>
    </w:p>
    <w:p w14:paraId="7FF56215" w14:textId="77777777" w:rsidR="00233525" w:rsidRDefault="00000000">
      <w:pPr>
        <w:numPr>
          <w:ilvl w:val="0"/>
          <w:numId w:val="1"/>
        </w:numPr>
        <w:pBdr>
          <w:top w:val="nil"/>
          <w:left w:val="nil"/>
          <w:bottom w:val="nil"/>
          <w:right w:val="nil"/>
          <w:between w:val="nil"/>
        </w:pBdr>
        <w:rPr>
          <w:b/>
          <w:bCs/>
          <w:sz w:val="24"/>
          <w:szCs w:val="24"/>
        </w:rPr>
      </w:pPr>
      <w:r>
        <w:rPr>
          <w:b/>
          <w:bCs/>
          <w:sz w:val="24"/>
          <w:szCs w:val="24"/>
        </w:rPr>
        <w:t>Fuentes de datos utilizadas</w:t>
      </w:r>
    </w:p>
    <w:p w14:paraId="7FF56216" w14:textId="77777777" w:rsidR="00233525" w:rsidRDefault="00233525">
      <w:pPr>
        <w:pBdr>
          <w:top w:val="nil"/>
          <w:left w:val="nil"/>
          <w:bottom w:val="nil"/>
          <w:right w:val="nil"/>
          <w:between w:val="nil"/>
        </w:pBdr>
      </w:pPr>
    </w:p>
    <w:p w14:paraId="7FF56217" w14:textId="77777777" w:rsidR="00233525" w:rsidRDefault="00000000">
      <w:r>
        <w:t>El análisis se apoya en siete conjuntos de datos procedentes de tres administraciones distintas: la Generalitat Valenciana, el Instituto Nacional de Estadística (INE) y fuentes secundarias locales. La combinación de estas fuentes permite contrastar la información y compensar las limitaciones de cada una.</w:t>
      </w:r>
    </w:p>
    <w:p w14:paraId="7FF56218" w14:textId="77777777" w:rsidR="00233525" w:rsidRDefault="00233525"/>
    <w:p w14:paraId="7FF56219" w14:textId="77777777" w:rsidR="00233525" w:rsidRDefault="00000000">
      <w:pPr>
        <w:rPr>
          <w:color w:val="666666"/>
        </w:rPr>
      </w:pPr>
      <w:r>
        <w:rPr>
          <w:color w:val="666666"/>
        </w:rPr>
        <w:t>1.1 Registro oficial de VUT - Generalitat Valenciana</w:t>
      </w:r>
    </w:p>
    <w:p w14:paraId="7FF5621A" w14:textId="77777777" w:rsidR="00233525" w:rsidRDefault="00233525">
      <w:pPr>
        <w:rPr>
          <w:color w:val="666666"/>
        </w:rPr>
      </w:pPr>
    </w:p>
    <w:p w14:paraId="7FF5621B" w14:textId="77777777" w:rsidR="00233525" w:rsidRDefault="00233525"/>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1"/>
        <w:gridCol w:w="3433"/>
        <w:gridCol w:w="2116"/>
      </w:tblGrid>
      <w:tr w:rsidR="00233525" w14:paraId="7FF5621F" w14:textId="77777777">
        <w:tc>
          <w:tcPr>
            <w:tcW w:w="3450" w:type="dxa"/>
            <w:shd w:val="clear" w:color="auto" w:fill="073763"/>
            <w:tcMar>
              <w:top w:w="100" w:type="dxa"/>
              <w:left w:w="100" w:type="dxa"/>
              <w:bottom w:w="100" w:type="dxa"/>
              <w:right w:w="100" w:type="dxa"/>
            </w:tcMar>
          </w:tcPr>
          <w:p w14:paraId="7FF5621C" w14:textId="77777777" w:rsidR="00233525" w:rsidRDefault="00000000">
            <w:pPr>
              <w:widowControl w:val="0"/>
              <w:pBdr>
                <w:top w:val="nil"/>
                <w:left w:val="nil"/>
                <w:bottom w:val="nil"/>
                <w:right w:val="nil"/>
                <w:between w:val="nil"/>
              </w:pBdr>
              <w:spacing w:line="240" w:lineRule="auto"/>
              <w:rPr>
                <w:color w:val="FFFFFF"/>
              </w:rPr>
            </w:pPr>
            <w:r>
              <w:rPr>
                <w:color w:val="FFFFFF"/>
              </w:rPr>
              <w:t>Dataset</w:t>
            </w:r>
          </w:p>
        </w:tc>
        <w:tc>
          <w:tcPr>
            <w:tcW w:w="3433" w:type="dxa"/>
            <w:shd w:val="clear" w:color="auto" w:fill="073763"/>
            <w:tcMar>
              <w:top w:w="100" w:type="dxa"/>
              <w:left w:w="100" w:type="dxa"/>
              <w:bottom w:w="100" w:type="dxa"/>
              <w:right w:w="100" w:type="dxa"/>
            </w:tcMar>
          </w:tcPr>
          <w:p w14:paraId="7FF5621D" w14:textId="77777777" w:rsidR="00233525" w:rsidRDefault="00000000">
            <w:pPr>
              <w:widowControl w:val="0"/>
              <w:pBdr>
                <w:top w:val="nil"/>
                <w:left w:val="nil"/>
                <w:bottom w:val="nil"/>
                <w:right w:val="nil"/>
                <w:between w:val="nil"/>
              </w:pBdr>
              <w:spacing w:line="240" w:lineRule="auto"/>
              <w:rPr>
                <w:color w:val="FFFFFF"/>
              </w:rPr>
            </w:pPr>
            <w:r>
              <w:rPr>
                <w:color w:val="FFFFFF"/>
              </w:rPr>
              <w:t>Origen</w:t>
            </w:r>
          </w:p>
        </w:tc>
        <w:tc>
          <w:tcPr>
            <w:tcW w:w="2116" w:type="dxa"/>
            <w:shd w:val="clear" w:color="auto" w:fill="073763"/>
            <w:tcMar>
              <w:top w:w="100" w:type="dxa"/>
              <w:left w:w="100" w:type="dxa"/>
              <w:bottom w:w="100" w:type="dxa"/>
              <w:right w:w="100" w:type="dxa"/>
            </w:tcMar>
          </w:tcPr>
          <w:p w14:paraId="7FF5621E" w14:textId="77777777" w:rsidR="00233525" w:rsidRDefault="00000000">
            <w:pPr>
              <w:widowControl w:val="0"/>
              <w:pBdr>
                <w:top w:val="nil"/>
                <w:left w:val="nil"/>
                <w:bottom w:val="nil"/>
                <w:right w:val="nil"/>
                <w:between w:val="nil"/>
              </w:pBdr>
              <w:spacing w:line="240" w:lineRule="auto"/>
              <w:rPr>
                <w:color w:val="FFFFFF"/>
              </w:rPr>
            </w:pPr>
            <w:r>
              <w:rPr>
                <w:color w:val="FFFFFF"/>
              </w:rPr>
              <w:t>Cobertura temporal</w:t>
            </w:r>
          </w:p>
        </w:tc>
      </w:tr>
      <w:tr w:rsidR="00233525" w14:paraId="7FF56223" w14:textId="77777777">
        <w:tc>
          <w:tcPr>
            <w:tcW w:w="3450" w:type="dxa"/>
            <w:tcMar>
              <w:top w:w="100" w:type="dxa"/>
              <w:left w:w="100" w:type="dxa"/>
              <w:bottom w:w="100" w:type="dxa"/>
              <w:right w:w="100" w:type="dxa"/>
            </w:tcMar>
          </w:tcPr>
          <w:p w14:paraId="7FF56220" w14:textId="77777777" w:rsidR="00233525" w:rsidRDefault="00000000">
            <w:pPr>
              <w:widowControl w:val="0"/>
              <w:pBdr>
                <w:top w:val="nil"/>
                <w:left w:val="nil"/>
                <w:bottom w:val="nil"/>
                <w:right w:val="nil"/>
                <w:between w:val="nil"/>
              </w:pBdr>
              <w:spacing w:line="240" w:lineRule="auto"/>
            </w:pPr>
            <w:r>
              <w:t>obtenerDocumentoSForms.csv</w:t>
            </w:r>
          </w:p>
        </w:tc>
        <w:tc>
          <w:tcPr>
            <w:tcW w:w="3433" w:type="dxa"/>
            <w:tcMar>
              <w:top w:w="100" w:type="dxa"/>
              <w:left w:w="100" w:type="dxa"/>
              <w:bottom w:w="100" w:type="dxa"/>
              <w:right w:w="100" w:type="dxa"/>
            </w:tcMar>
          </w:tcPr>
          <w:p w14:paraId="7FF56221" w14:textId="77777777" w:rsidR="00233525" w:rsidRDefault="00000000">
            <w:pPr>
              <w:widowControl w:val="0"/>
              <w:pBdr>
                <w:top w:val="nil"/>
                <w:left w:val="nil"/>
                <w:bottom w:val="nil"/>
                <w:right w:val="nil"/>
                <w:between w:val="nil"/>
              </w:pBdr>
              <w:spacing w:line="240" w:lineRule="auto"/>
            </w:pPr>
            <w:r>
              <w:t>Registro de Turisme de la CV</w:t>
            </w:r>
          </w:p>
        </w:tc>
        <w:tc>
          <w:tcPr>
            <w:tcW w:w="2116" w:type="dxa"/>
            <w:tcMar>
              <w:top w:w="100" w:type="dxa"/>
              <w:left w:w="100" w:type="dxa"/>
              <w:bottom w:w="100" w:type="dxa"/>
              <w:right w:w="100" w:type="dxa"/>
            </w:tcMar>
          </w:tcPr>
          <w:p w14:paraId="7FF56222" w14:textId="77777777" w:rsidR="00233525" w:rsidRDefault="00000000">
            <w:pPr>
              <w:widowControl w:val="0"/>
              <w:pBdr>
                <w:top w:val="nil"/>
                <w:left w:val="nil"/>
                <w:bottom w:val="nil"/>
                <w:right w:val="nil"/>
                <w:between w:val="nil"/>
              </w:pBdr>
              <w:spacing w:line="240" w:lineRule="auto"/>
            </w:pPr>
            <w:r>
              <w:t>1996 – 2025</w:t>
            </w:r>
          </w:p>
        </w:tc>
      </w:tr>
      <w:tr w:rsidR="00233525" w14:paraId="7FF56227" w14:textId="77777777">
        <w:tc>
          <w:tcPr>
            <w:tcW w:w="3450" w:type="dxa"/>
            <w:tcMar>
              <w:top w:w="100" w:type="dxa"/>
              <w:left w:w="100" w:type="dxa"/>
              <w:bottom w:w="100" w:type="dxa"/>
              <w:right w:w="100" w:type="dxa"/>
            </w:tcMar>
          </w:tcPr>
          <w:p w14:paraId="7FF56224" w14:textId="77777777" w:rsidR="00233525" w:rsidRDefault="00000000">
            <w:pPr>
              <w:widowControl w:val="0"/>
              <w:pBdr>
                <w:top w:val="nil"/>
                <w:left w:val="nil"/>
                <w:bottom w:val="nil"/>
                <w:right w:val="nil"/>
                <w:between w:val="nil"/>
              </w:pBdr>
              <w:spacing w:line="240" w:lineRule="auto"/>
            </w:pPr>
            <w:r>
              <w:t xml:space="preserve">lista-de-viviendas-turisticas.csv </w:t>
            </w:r>
          </w:p>
        </w:tc>
        <w:tc>
          <w:tcPr>
            <w:tcW w:w="3433" w:type="dxa"/>
            <w:tcMar>
              <w:top w:w="100" w:type="dxa"/>
              <w:left w:w="100" w:type="dxa"/>
              <w:bottom w:w="100" w:type="dxa"/>
              <w:right w:w="100" w:type="dxa"/>
            </w:tcMar>
          </w:tcPr>
          <w:p w14:paraId="7FF56225" w14:textId="77777777" w:rsidR="00233525" w:rsidRDefault="00000000">
            <w:pPr>
              <w:widowControl w:val="0"/>
              <w:spacing w:line="240" w:lineRule="auto"/>
            </w:pPr>
            <w:r>
              <w:t>GVA Open Data (portal abierto)</w:t>
            </w:r>
          </w:p>
        </w:tc>
        <w:tc>
          <w:tcPr>
            <w:tcW w:w="2116" w:type="dxa"/>
            <w:tcMar>
              <w:top w:w="100" w:type="dxa"/>
              <w:left w:w="100" w:type="dxa"/>
              <w:bottom w:w="100" w:type="dxa"/>
              <w:right w:w="100" w:type="dxa"/>
            </w:tcMar>
          </w:tcPr>
          <w:p w14:paraId="7FF56226" w14:textId="77777777" w:rsidR="00233525" w:rsidRDefault="00000000">
            <w:pPr>
              <w:widowControl w:val="0"/>
              <w:spacing w:line="240" w:lineRule="auto"/>
            </w:pPr>
            <w:r>
              <w:t>1993 – 2025</w:t>
            </w:r>
          </w:p>
        </w:tc>
      </w:tr>
    </w:tbl>
    <w:p w14:paraId="7FF56228" w14:textId="77777777" w:rsidR="00233525" w:rsidRDefault="00233525"/>
    <w:p w14:paraId="7FF56229" w14:textId="77777777" w:rsidR="00233525" w:rsidRDefault="00000000">
      <w:r>
        <w:t>El archivo obtenerDocumentoSForms.csv es la fuente principal del análisis. Contiene una fila por cada VUT actualmente dada de alta, con información sobre localización (código postal, dirección), características físicas (superficie, plazas, dormitorios) y fecha de inscripción. Las variables principales son: código registral (CV-VUT-XXXXXX-A), código postal, plazas totales, número de dormitorios, superficie en m² y fecha de alta.</w:t>
      </w:r>
    </w:p>
    <w:p w14:paraId="7FF5622A" w14:textId="77777777" w:rsidR="00233525" w:rsidRDefault="00233525"/>
    <w:p w14:paraId="7FF5622B" w14:textId="77777777" w:rsidR="00233525" w:rsidRDefault="00000000">
      <w:r>
        <w:rPr>
          <w:b/>
          <w:bCs/>
        </w:rPr>
        <w:t>Limitación importante:</w:t>
      </w:r>
      <w:r>
        <w:t xml:space="preserve"> este archivo solo contiene las VUT actualmente activas. No registra las bajas históricas, lo que implica que cualquier análisis de stock acumulado sobreestima ligeramente la oferta real en años pasados.</w:t>
      </w:r>
    </w:p>
    <w:p w14:paraId="7FF5622C" w14:textId="77777777" w:rsidR="00233525" w:rsidRDefault="00233525"/>
    <w:p w14:paraId="7FF5622D" w14:textId="77777777" w:rsidR="00233525" w:rsidRDefault="00000000">
      <w:pPr>
        <w:rPr>
          <w:color w:val="666666"/>
        </w:rPr>
      </w:pPr>
      <w:r>
        <w:rPr>
          <w:color w:val="666666"/>
        </w:rPr>
        <w:t>1.2 Estadísticas INE (EHAT y Censo de Población y Viviendas)</w:t>
      </w:r>
    </w:p>
    <w:p w14:paraId="7FF5622E" w14:textId="77777777" w:rsidR="00233525" w:rsidRDefault="00233525"/>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1"/>
        <w:gridCol w:w="2043"/>
        <w:gridCol w:w="2126"/>
      </w:tblGrid>
      <w:tr w:rsidR="00233525" w14:paraId="7FF56232" w14:textId="77777777">
        <w:tc>
          <w:tcPr>
            <w:tcW w:w="4830" w:type="dxa"/>
            <w:shd w:val="clear" w:color="auto" w:fill="073763"/>
            <w:tcMar>
              <w:top w:w="100" w:type="dxa"/>
              <w:left w:w="100" w:type="dxa"/>
              <w:bottom w:w="100" w:type="dxa"/>
              <w:right w:w="100" w:type="dxa"/>
            </w:tcMar>
          </w:tcPr>
          <w:p w14:paraId="7FF5622F" w14:textId="77777777" w:rsidR="00233525" w:rsidRDefault="00000000">
            <w:pPr>
              <w:widowControl w:val="0"/>
              <w:spacing w:line="240" w:lineRule="auto"/>
              <w:rPr>
                <w:color w:val="FFFFFF"/>
              </w:rPr>
            </w:pPr>
            <w:r>
              <w:rPr>
                <w:color w:val="FFFFFF"/>
              </w:rPr>
              <w:t>Dataset</w:t>
            </w:r>
          </w:p>
        </w:tc>
        <w:tc>
          <w:tcPr>
            <w:tcW w:w="2043" w:type="dxa"/>
            <w:shd w:val="clear" w:color="auto" w:fill="073763"/>
            <w:tcMar>
              <w:top w:w="100" w:type="dxa"/>
              <w:left w:w="100" w:type="dxa"/>
              <w:bottom w:w="100" w:type="dxa"/>
              <w:right w:w="100" w:type="dxa"/>
            </w:tcMar>
          </w:tcPr>
          <w:p w14:paraId="7FF56230" w14:textId="77777777" w:rsidR="00233525" w:rsidRDefault="00000000">
            <w:pPr>
              <w:widowControl w:val="0"/>
              <w:spacing w:line="240" w:lineRule="auto"/>
              <w:rPr>
                <w:color w:val="FFFFFF"/>
              </w:rPr>
            </w:pPr>
            <w:r>
              <w:rPr>
                <w:color w:val="FFFFFF"/>
              </w:rPr>
              <w:t>Origen</w:t>
            </w:r>
          </w:p>
        </w:tc>
        <w:tc>
          <w:tcPr>
            <w:tcW w:w="2126" w:type="dxa"/>
            <w:shd w:val="clear" w:color="auto" w:fill="073763"/>
            <w:tcMar>
              <w:top w:w="100" w:type="dxa"/>
              <w:left w:w="100" w:type="dxa"/>
              <w:bottom w:w="100" w:type="dxa"/>
              <w:right w:w="100" w:type="dxa"/>
            </w:tcMar>
          </w:tcPr>
          <w:p w14:paraId="7FF56231" w14:textId="77777777" w:rsidR="00233525" w:rsidRDefault="00000000">
            <w:pPr>
              <w:widowControl w:val="0"/>
              <w:spacing w:line="240" w:lineRule="auto"/>
              <w:rPr>
                <w:color w:val="FFFFFF"/>
              </w:rPr>
            </w:pPr>
            <w:r>
              <w:rPr>
                <w:color w:val="FFFFFF"/>
              </w:rPr>
              <w:t>Cobertura temporal</w:t>
            </w:r>
          </w:p>
        </w:tc>
      </w:tr>
      <w:tr w:rsidR="00233525" w14:paraId="7FF56236" w14:textId="77777777">
        <w:tc>
          <w:tcPr>
            <w:tcW w:w="4830" w:type="dxa"/>
            <w:tcMar>
              <w:top w:w="100" w:type="dxa"/>
              <w:left w:w="100" w:type="dxa"/>
              <w:bottom w:w="100" w:type="dxa"/>
              <w:right w:w="100" w:type="dxa"/>
            </w:tcMar>
          </w:tcPr>
          <w:p w14:paraId="7FF56233" w14:textId="77777777" w:rsidR="00233525" w:rsidRDefault="00000000">
            <w:pPr>
              <w:widowControl w:val="0"/>
              <w:spacing w:line="240" w:lineRule="auto"/>
            </w:pPr>
            <w:r>
              <w:t>viviendas_turisticas_plazas_y_plazas_por_vivienda_turistica</w:t>
            </w:r>
          </w:p>
        </w:tc>
        <w:tc>
          <w:tcPr>
            <w:tcW w:w="2043" w:type="dxa"/>
            <w:tcMar>
              <w:top w:w="100" w:type="dxa"/>
              <w:left w:w="100" w:type="dxa"/>
              <w:bottom w:w="100" w:type="dxa"/>
              <w:right w:w="100" w:type="dxa"/>
            </w:tcMar>
          </w:tcPr>
          <w:p w14:paraId="7FF56234" w14:textId="77777777" w:rsidR="00233525" w:rsidRDefault="00000000">
            <w:pPr>
              <w:widowControl w:val="0"/>
              <w:spacing w:line="240" w:lineRule="auto"/>
            </w:pPr>
            <w:r>
              <w:rPr>
                <w:sz w:val="20"/>
                <w:szCs w:val="20"/>
                <w:shd w:val="clear" w:color="auto" w:fill="E1F5FE"/>
              </w:rPr>
              <w:t>INE (EHAT)</w:t>
            </w:r>
          </w:p>
        </w:tc>
        <w:tc>
          <w:tcPr>
            <w:tcW w:w="2126" w:type="dxa"/>
            <w:tcMar>
              <w:top w:w="100" w:type="dxa"/>
              <w:left w:w="100" w:type="dxa"/>
              <w:bottom w:w="100" w:type="dxa"/>
              <w:right w:w="100" w:type="dxa"/>
            </w:tcMar>
          </w:tcPr>
          <w:p w14:paraId="7FF56235" w14:textId="77777777" w:rsidR="00233525" w:rsidRDefault="00000000">
            <w:pPr>
              <w:widowControl w:val="0"/>
              <w:pBdr>
                <w:top w:val="nil"/>
                <w:left w:val="nil"/>
                <w:bottom w:val="nil"/>
                <w:right w:val="nil"/>
                <w:between w:val="nil"/>
              </w:pBdr>
              <w:spacing w:line="240" w:lineRule="auto"/>
            </w:pPr>
            <w:r>
              <w:t>2020-2025</w:t>
            </w:r>
          </w:p>
        </w:tc>
      </w:tr>
      <w:tr w:rsidR="00233525" w14:paraId="7FF5623A" w14:textId="77777777">
        <w:tc>
          <w:tcPr>
            <w:tcW w:w="4830" w:type="dxa"/>
            <w:tcMar>
              <w:top w:w="100" w:type="dxa"/>
              <w:left w:w="100" w:type="dxa"/>
              <w:bottom w:w="100" w:type="dxa"/>
              <w:right w:w="100" w:type="dxa"/>
            </w:tcMar>
          </w:tcPr>
          <w:p w14:paraId="7FF56237" w14:textId="77777777" w:rsidR="00233525" w:rsidRDefault="00000000">
            <w:pPr>
              <w:widowControl w:val="0"/>
              <w:pBdr>
                <w:top w:val="nil"/>
                <w:left w:val="nil"/>
                <w:bottom w:val="nil"/>
                <w:right w:val="nil"/>
                <w:between w:val="nil"/>
              </w:pBdr>
              <w:spacing w:line="240" w:lineRule="auto"/>
            </w:pPr>
            <w:r>
              <w:t>porcentaje_viviendas_turisticas_sobre_el_total_de_viviendas_censadas.csv</w:t>
            </w:r>
          </w:p>
        </w:tc>
        <w:tc>
          <w:tcPr>
            <w:tcW w:w="2043" w:type="dxa"/>
            <w:tcMar>
              <w:top w:w="100" w:type="dxa"/>
              <w:left w:w="100" w:type="dxa"/>
              <w:bottom w:w="100" w:type="dxa"/>
              <w:right w:w="100" w:type="dxa"/>
            </w:tcMar>
          </w:tcPr>
          <w:p w14:paraId="7FF56238" w14:textId="77777777" w:rsidR="00233525" w:rsidRDefault="00000000">
            <w:pPr>
              <w:widowControl w:val="0"/>
              <w:spacing w:line="240" w:lineRule="auto"/>
            </w:pPr>
            <w:r>
              <w:rPr>
                <w:sz w:val="20"/>
                <w:szCs w:val="20"/>
                <w:shd w:val="clear" w:color="auto" w:fill="E1F5FE"/>
              </w:rPr>
              <w:t>INE (EHAT)</w:t>
            </w:r>
          </w:p>
        </w:tc>
        <w:tc>
          <w:tcPr>
            <w:tcW w:w="2126" w:type="dxa"/>
            <w:tcMar>
              <w:top w:w="100" w:type="dxa"/>
              <w:left w:w="100" w:type="dxa"/>
              <w:bottom w:w="100" w:type="dxa"/>
              <w:right w:w="100" w:type="dxa"/>
            </w:tcMar>
          </w:tcPr>
          <w:p w14:paraId="7FF56239" w14:textId="77777777" w:rsidR="00233525" w:rsidRDefault="00000000">
            <w:pPr>
              <w:widowControl w:val="0"/>
              <w:spacing w:line="240" w:lineRule="auto"/>
            </w:pPr>
            <w:r>
              <w:t>2020-2025</w:t>
            </w:r>
          </w:p>
        </w:tc>
      </w:tr>
      <w:tr w:rsidR="00233525" w14:paraId="7FF5623E" w14:textId="77777777">
        <w:tc>
          <w:tcPr>
            <w:tcW w:w="4830" w:type="dxa"/>
            <w:tcMar>
              <w:top w:w="100" w:type="dxa"/>
              <w:left w:w="100" w:type="dxa"/>
              <w:bottom w:w="100" w:type="dxa"/>
              <w:right w:w="100" w:type="dxa"/>
            </w:tcMar>
          </w:tcPr>
          <w:p w14:paraId="7FF5623B" w14:textId="77777777" w:rsidR="00233525" w:rsidRDefault="00000000">
            <w:pPr>
              <w:widowControl w:val="0"/>
              <w:pBdr>
                <w:top w:val="nil"/>
                <w:left w:val="nil"/>
                <w:bottom w:val="nil"/>
                <w:right w:val="nil"/>
                <w:between w:val="nil"/>
              </w:pBdr>
              <w:spacing w:line="240" w:lineRule="auto"/>
            </w:pPr>
            <w:r>
              <w:t>evolucion_viviendas_2001_2021.csv</w:t>
            </w:r>
          </w:p>
        </w:tc>
        <w:tc>
          <w:tcPr>
            <w:tcW w:w="2043" w:type="dxa"/>
            <w:tcMar>
              <w:top w:w="100" w:type="dxa"/>
              <w:left w:w="100" w:type="dxa"/>
              <w:bottom w:w="100" w:type="dxa"/>
              <w:right w:w="100" w:type="dxa"/>
            </w:tcMar>
          </w:tcPr>
          <w:p w14:paraId="7FF5623C" w14:textId="77777777" w:rsidR="00233525" w:rsidRDefault="00000000">
            <w:pPr>
              <w:widowControl w:val="0"/>
              <w:spacing w:line="240" w:lineRule="auto"/>
              <w:rPr>
                <w:sz w:val="20"/>
                <w:szCs w:val="20"/>
                <w:shd w:val="clear" w:color="auto" w:fill="E1F5FE"/>
              </w:rPr>
            </w:pPr>
            <w:r>
              <w:rPr>
                <w:sz w:val="20"/>
                <w:szCs w:val="20"/>
                <w:shd w:val="clear" w:color="auto" w:fill="E1F5FE"/>
              </w:rPr>
              <w:t>INE</w:t>
            </w:r>
          </w:p>
        </w:tc>
        <w:tc>
          <w:tcPr>
            <w:tcW w:w="2126" w:type="dxa"/>
            <w:tcMar>
              <w:top w:w="100" w:type="dxa"/>
              <w:left w:w="100" w:type="dxa"/>
              <w:bottom w:w="100" w:type="dxa"/>
              <w:right w:w="100" w:type="dxa"/>
            </w:tcMar>
          </w:tcPr>
          <w:p w14:paraId="7FF5623D" w14:textId="77777777" w:rsidR="00233525" w:rsidRDefault="00000000">
            <w:pPr>
              <w:widowControl w:val="0"/>
              <w:spacing w:line="240" w:lineRule="auto"/>
            </w:pPr>
            <w:r>
              <w:t>2001, 2011, 2021</w:t>
            </w:r>
          </w:p>
        </w:tc>
      </w:tr>
    </w:tbl>
    <w:p w14:paraId="7FF5623F" w14:textId="77777777" w:rsidR="00233525" w:rsidRDefault="00233525"/>
    <w:p w14:paraId="7FF56240" w14:textId="77777777" w:rsidR="00233525" w:rsidRDefault="00000000">
      <w:r>
        <w:t>La Encuesta de Ocupación en Apartamentos Turísticos (EHAT) del INE publica datos en febrero (temporada baja) y agosto (temporada alta), lo que introduce una variación estacional intrínseca. Esto debe tenerse en cuenta al comparar datos del mismo año pero de distintos periodos. El Censo de 2021 tiene la limitación adicional de no desagregar viviendas secundarias y vacías por separado, al haber utilizado una metodología distinta a la de censos anteriores.</w:t>
      </w:r>
    </w:p>
    <w:p w14:paraId="7FF56241" w14:textId="77777777" w:rsidR="00233525" w:rsidRDefault="00233525"/>
    <w:p w14:paraId="7FF56242" w14:textId="77777777" w:rsidR="00233525" w:rsidRDefault="00000000">
      <w:pPr>
        <w:rPr>
          <w:color w:val="666666"/>
        </w:rPr>
      </w:pPr>
      <w:r>
        <w:rPr>
          <w:color w:val="666666"/>
        </w:rPr>
        <w:t>1.3 Series de precios inmobiliarios</w:t>
      </w:r>
    </w:p>
    <w:p w14:paraId="7FF56243" w14:textId="77777777" w:rsidR="00233525" w:rsidRDefault="00233525"/>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1"/>
        <w:gridCol w:w="2043"/>
        <w:gridCol w:w="2126"/>
      </w:tblGrid>
      <w:tr w:rsidR="00233525" w14:paraId="7FF56247" w14:textId="77777777">
        <w:tc>
          <w:tcPr>
            <w:tcW w:w="4830" w:type="dxa"/>
            <w:shd w:val="clear" w:color="auto" w:fill="073763"/>
            <w:tcMar>
              <w:top w:w="100" w:type="dxa"/>
              <w:left w:w="100" w:type="dxa"/>
              <w:bottom w:w="100" w:type="dxa"/>
              <w:right w:w="100" w:type="dxa"/>
            </w:tcMar>
          </w:tcPr>
          <w:p w14:paraId="7FF56244" w14:textId="77777777" w:rsidR="00233525" w:rsidRDefault="00000000">
            <w:pPr>
              <w:widowControl w:val="0"/>
              <w:spacing w:line="240" w:lineRule="auto"/>
              <w:rPr>
                <w:color w:val="FFFFFF"/>
              </w:rPr>
            </w:pPr>
            <w:r>
              <w:rPr>
                <w:color w:val="FFFFFF"/>
              </w:rPr>
              <w:t>Dataset</w:t>
            </w:r>
          </w:p>
        </w:tc>
        <w:tc>
          <w:tcPr>
            <w:tcW w:w="2043" w:type="dxa"/>
            <w:shd w:val="clear" w:color="auto" w:fill="073763"/>
            <w:tcMar>
              <w:top w:w="100" w:type="dxa"/>
              <w:left w:w="100" w:type="dxa"/>
              <w:bottom w:w="100" w:type="dxa"/>
              <w:right w:w="100" w:type="dxa"/>
            </w:tcMar>
          </w:tcPr>
          <w:p w14:paraId="7FF56245" w14:textId="77777777" w:rsidR="00233525" w:rsidRDefault="00000000">
            <w:pPr>
              <w:widowControl w:val="0"/>
              <w:spacing w:line="240" w:lineRule="auto"/>
              <w:rPr>
                <w:color w:val="FFFFFF"/>
              </w:rPr>
            </w:pPr>
            <w:r>
              <w:rPr>
                <w:color w:val="FFFFFF"/>
              </w:rPr>
              <w:t>Origen</w:t>
            </w:r>
          </w:p>
        </w:tc>
        <w:tc>
          <w:tcPr>
            <w:tcW w:w="2126" w:type="dxa"/>
            <w:shd w:val="clear" w:color="auto" w:fill="073763"/>
            <w:tcMar>
              <w:top w:w="100" w:type="dxa"/>
              <w:left w:w="100" w:type="dxa"/>
              <w:bottom w:w="100" w:type="dxa"/>
              <w:right w:w="100" w:type="dxa"/>
            </w:tcMar>
          </w:tcPr>
          <w:p w14:paraId="7FF56246" w14:textId="77777777" w:rsidR="00233525" w:rsidRDefault="00000000">
            <w:pPr>
              <w:widowControl w:val="0"/>
              <w:spacing w:line="240" w:lineRule="auto"/>
              <w:rPr>
                <w:color w:val="FFFFFF"/>
              </w:rPr>
            </w:pPr>
            <w:r>
              <w:rPr>
                <w:color w:val="FFFFFF"/>
              </w:rPr>
              <w:t>Cobertura temporal</w:t>
            </w:r>
          </w:p>
        </w:tc>
      </w:tr>
      <w:tr w:rsidR="00233525" w14:paraId="7FF5624B" w14:textId="77777777">
        <w:tc>
          <w:tcPr>
            <w:tcW w:w="4830" w:type="dxa"/>
            <w:tcMar>
              <w:top w:w="100" w:type="dxa"/>
              <w:left w:w="100" w:type="dxa"/>
              <w:bottom w:w="100" w:type="dxa"/>
              <w:right w:w="100" w:type="dxa"/>
            </w:tcMar>
          </w:tcPr>
          <w:p w14:paraId="7FF56248" w14:textId="77777777" w:rsidR="00233525" w:rsidRDefault="00000000">
            <w:pPr>
              <w:widowControl w:val="0"/>
              <w:spacing w:line="240" w:lineRule="auto"/>
            </w:pPr>
            <w:r>
              <w:t>precios_viviendas.csv</w:t>
            </w:r>
          </w:p>
        </w:tc>
        <w:tc>
          <w:tcPr>
            <w:tcW w:w="2043" w:type="dxa"/>
            <w:tcMar>
              <w:top w:w="100" w:type="dxa"/>
              <w:left w:w="100" w:type="dxa"/>
              <w:bottom w:w="100" w:type="dxa"/>
              <w:right w:w="100" w:type="dxa"/>
            </w:tcMar>
          </w:tcPr>
          <w:p w14:paraId="7FF56249" w14:textId="77777777" w:rsidR="00233525" w:rsidRDefault="00000000">
            <w:pPr>
              <w:widowControl w:val="0"/>
              <w:spacing w:line="240" w:lineRule="auto"/>
            </w:pPr>
            <w:r>
              <w:rPr>
                <w:sz w:val="20"/>
                <w:szCs w:val="20"/>
                <w:shd w:val="clear" w:color="auto" w:fill="E1F5FE"/>
              </w:rPr>
              <w:t>Fuente secundaria</w:t>
            </w:r>
          </w:p>
        </w:tc>
        <w:tc>
          <w:tcPr>
            <w:tcW w:w="2126" w:type="dxa"/>
            <w:tcMar>
              <w:top w:w="100" w:type="dxa"/>
              <w:left w:w="100" w:type="dxa"/>
              <w:bottom w:w="100" w:type="dxa"/>
              <w:right w:w="100" w:type="dxa"/>
            </w:tcMar>
          </w:tcPr>
          <w:p w14:paraId="7FF5624A" w14:textId="77777777" w:rsidR="00233525" w:rsidRDefault="00000000">
            <w:pPr>
              <w:widowControl w:val="0"/>
              <w:spacing w:line="240" w:lineRule="auto"/>
            </w:pPr>
            <w:r>
              <w:t>2006-2026</w:t>
            </w:r>
          </w:p>
        </w:tc>
      </w:tr>
      <w:tr w:rsidR="00233525" w14:paraId="7FF5624F" w14:textId="77777777">
        <w:tc>
          <w:tcPr>
            <w:tcW w:w="4830" w:type="dxa"/>
            <w:tcMar>
              <w:top w:w="100" w:type="dxa"/>
              <w:left w:w="100" w:type="dxa"/>
              <w:bottom w:w="100" w:type="dxa"/>
              <w:right w:w="100" w:type="dxa"/>
            </w:tcMar>
          </w:tcPr>
          <w:p w14:paraId="7FF5624C" w14:textId="77777777" w:rsidR="00233525" w:rsidRDefault="00000000">
            <w:pPr>
              <w:widowControl w:val="0"/>
              <w:spacing w:line="240" w:lineRule="auto"/>
            </w:pPr>
            <w:r>
              <w:t>precio_alquileres.csv</w:t>
            </w:r>
          </w:p>
        </w:tc>
        <w:tc>
          <w:tcPr>
            <w:tcW w:w="2043" w:type="dxa"/>
            <w:tcMar>
              <w:top w:w="100" w:type="dxa"/>
              <w:left w:w="100" w:type="dxa"/>
              <w:bottom w:w="100" w:type="dxa"/>
              <w:right w:w="100" w:type="dxa"/>
            </w:tcMar>
          </w:tcPr>
          <w:p w14:paraId="7FF5624D" w14:textId="77777777" w:rsidR="00233525" w:rsidRDefault="00000000">
            <w:pPr>
              <w:widowControl w:val="0"/>
              <w:spacing w:line="240" w:lineRule="auto"/>
            </w:pPr>
            <w:r>
              <w:rPr>
                <w:sz w:val="20"/>
                <w:szCs w:val="20"/>
                <w:shd w:val="clear" w:color="auto" w:fill="E1F5FE"/>
              </w:rPr>
              <w:t>Fuente secundaria</w:t>
            </w:r>
          </w:p>
        </w:tc>
        <w:tc>
          <w:tcPr>
            <w:tcW w:w="2126" w:type="dxa"/>
            <w:tcMar>
              <w:top w:w="100" w:type="dxa"/>
              <w:left w:w="100" w:type="dxa"/>
              <w:bottom w:w="100" w:type="dxa"/>
              <w:right w:w="100" w:type="dxa"/>
            </w:tcMar>
          </w:tcPr>
          <w:p w14:paraId="7FF5624E" w14:textId="77777777" w:rsidR="00233525" w:rsidRDefault="00000000">
            <w:pPr>
              <w:widowControl w:val="0"/>
              <w:spacing w:line="240" w:lineRule="auto"/>
            </w:pPr>
            <w:r>
              <w:t>2006-2026</w:t>
            </w:r>
          </w:p>
        </w:tc>
      </w:tr>
    </w:tbl>
    <w:p w14:paraId="7FF56250" w14:textId="77777777" w:rsidR="00233525" w:rsidRDefault="00233525"/>
    <w:p w14:paraId="7FF56251" w14:textId="77777777" w:rsidR="00233525" w:rsidRDefault="00000000">
      <w:pPr>
        <w:rPr>
          <w:color w:val="666666"/>
        </w:rPr>
      </w:pPr>
      <w:r>
        <w:rPr>
          <w:color w:val="666666"/>
        </w:rPr>
        <w:t>1.4 Limitaciones generales de las fuentes</w:t>
      </w:r>
    </w:p>
    <w:p w14:paraId="7FF56252" w14:textId="77777777" w:rsidR="00233525" w:rsidRDefault="00233525">
      <w:pPr>
        <w:rPr>
          <w:color w:val="666666"/>
        </w:rPr>
      </w:pPr>
    </w:p>
    <w:p w14:paraId="7FF56253" w14:textId="77777777" w:rsidR="00233525" w:rsidRDefault="00000000">
      <w:pPr>
        <w:numPr>
          <w:ilvl w:val="0"/>
          <w:numId w:val="2"/>
        </w:numPr>
      </w:pPr>
      <w:r>
        <w:rPr>
          <w:b/>
          <w:bCs/>
        </w:rPr>
        <w:t>Bajas no registradas:</w:t>
      </w:r>
      <w:r>
        <w:t xml:space="preserve"> el registro oficial solo contiene VUT activas. La evolución acumulada por fecha de alta sobreestima el stock real en cada corte temporal.</w:t>
      </w:r>
    </w:p>
    <w:p w14:paraId="7FF56254" w14:textId="77777777" w:rsidR="00233525" w:rsidRDefault="00000000">
      <w:pPr>
        <w:numPr>
          <w:ilvl w:val="0"/>
          <w:numId w:val="2"/>
        </w:numPr>
      </w:pPr>
      <w:r>
        <w:rPr>
          <w:b/>
          <w:bCs/>
        </w:rPr>
        <w:t>Brecha registro / plataformas:</w:t>
      </w:r>
      <w:r>
        <w:t xml:space="preserve"> la oferta real en Airbnb o Booking puede incluir viviendas no registradas. No disponemos de datos de scraping para Torrevieja, lo que implica que los datos oficiales subestiman la oferta efectiva.</w:t>
      </w:r>
    </w:p>
    <w:p w14:paraId="7FF56255" w14:textId="77777777" w:rsidR="00233525" w:rsidRDefault="00000000">
      <w:pPr>
        <w:numPr>
          <w:ilvl w:val="0"/>
          <w:numId w:val="2"/>
        </w:numPr>
      </w:pPr>
      <w:r>
        <w:rPr>
          <w:b/>
          <w:bCs/>
        </w:rPr>
        <w:t>Granularidad geográfica limitada:</w:t>
      </w:r>
      <w:r>
        <w:t xml:space="preserve"> el código postal es la única variable de localización interna disponible, lo que impide análisis a nivel de barrio o sección censal.</w:t>
      </w:r>
    </w:p>
    <w:p w14:paraId="7FF56256" w14:textId="77777777" w:rsidR="00233525" w:rsidRDefault="00000000">
      <w:pPr>
        <w:numPr>
          <w:ilvl w:val="0"/>
          <w:numId w:val="2"/>
        </w:numPr>
      </w:pPr>
      <w:r>
        <w:rPr>
          <w:b/>
          <w:bCs/>
        </w:rPr>
        <w:t>Censos decenales:</w:t>
      </w:r>
      <w:r>
        <w:t xml:space="preserve"> los datos del parque de viviendas (2001, 2011, 2021) no permiten seguimiento anual. El porcentaje de VUT sobre el total puede estar sesgado si el parque ha crecido entre censos.</w:t>
      </w:r>
    </w:p>
    <w:p w14:paraId="7FF56257" w14:textId="77777777" w:rsidR="00233525" w:rsidRDefault="00000000">
      <w:pPr>
        <w:numPr>
          <w:ilvl w:val="0"/>
          <w:numId w:val="2"/>
        </w:numPr>
      </w:pPr>
      <w:r>
        <w:rPr>
          <w:b/>
          <w:bCs/>
        </w:rPr>
        <w:t>Correlación vs. causalidad:</w:t>
      </w:r>
      <w:r>
        <w:t xml:space="preserve"> las series de VUT y precios comparten tendencia temporal creciente, lo que infla artificialmente la correlación de Pearson sin implicar relación causal directa</w:t>
      </w:r>
    </w:p>
    <w:p w14:paraId="7FF56258" w14:textId="77777777" w:rsidR="00233525" w:rsidRDefault="00233525"/>
    <w:p w14:paraId="7FF56259" w14:textId="77777777" w:rsidR="00233525" w:rsidRDefault="00233525"/>
    <w:p w14:paraId="7FF5625A" w14:textId="77777777" w:rsidR="00233525" w:rsidRDefault="00000000">
      <w:pPr>
        <w:numPr>
          <w:ilvl w:val="0"/>
          <w:numId w:val="1"/>
        </w:numPr>
        <w:rPr>
          <w:b/>
          <w:bCs/>
          <w:sz w:val="24"/>
          <w:szCs w:val="24"/>
        </w:rPr>
      </w:pPr>
      <w:r>
        <w:rPr>
          <w:b/>
          <w:bCs/>
          <w:sz w:val="24"/>
          <w:szCs w:val="24"/>
        </w:rPr>
        <w:t>Metodología de análisis</w:t>
      </w:r>
    </w:p>
    <w:p w14:paraId="7FF5625B" w14:textId="77777777" w:rsidR="00233525" w:rsidRDefault="00233525">
      <w:pPr>
        <w:rPr>
          <w:b/>
          <w:bCs/>
          <w:sz w:val="24"/>
          <w:szCs w:val="24"/>
        </w:rPr>
      </w:pPr>
    </w:p>
    <w:p w14:paraId="7FF5625C" w14:textId="77777777" w:rsidR="00233525" w:rsidRDefault="00000000">
      <w:pPr>
        <w:rPr>
          <w:color w:val="666666"/>
        </w:rPr>
      </w:pPr>
      <w:r>
        <w:rPr>
          <w:color w:val="666666"/>
        </w:rPr>
        <w:t>2.1 Preparación y limpieza de datos</w:t>
      </w:r>
    </w:p>
    <w:p w14:paraId="7FF5625D" w14:textId="77777777" w:rsidR="00233525" w:rsidRDefault="00233525">
      <w:pPr>
        <w:rPr>
          <w:color w:val="666666"/>
        </w:rPr>
      </w:pPr>
    </w:p>
    <w:p w14:paraId="7FF5625E" w14:textId="77777777" w:rsidR="00233525" w:rsidRDefault="00000000">
      <w:r>
        <w:t>Los datos proceden de tres administraciones con formatos, separadores y codificaciones heterogéneos. El proceso de limpieza se organizó en cuatro bloques:</w:t>
      </w:r>
    </w:p>
    <w:p w14:paraId="7FF5625F" w14:textId="77777777" w:rsidR="00233525" w:rsidRDefault="00233525"/>
    <w:p w14:paraId="7FF56260" w14:textId="77777777" w:rsidR="00233525" w:rsidRDefault="00000000">
      <w:pPr>
        <w:numPr>
          <w:ilvl w:val="0"/>
          <w:numId w:val="4"/>
        </w:numPr>
      </w:pPr>
      <w:r>
        <w:rPr>
          <w:b/>
          <w:bCs/>
        </w:rPr>
        <w:t>Bloque A — Registro oficial VUT:</w:t>
      </w:r>
      <w:r>
        <w:t xml:space="preserve"> conversión de fechas al formato datetime, estandarización del código postal a cadena de 5 dígitos, eliminación de los 29 registros con 0 plazas (formularios incompletos) y exclusión del año 2026 (datos incompletos). Resultado: 9.694 VUTs válidas.</w:t>
      </w:r>
    </w:p>
    <w:p w14:paraId="7FF56261" w14:textId="77777777" w:rsidR="00233525" w:rsidRDefault="00000000">
      <w:pPr>
        <w:numPr>
          <w:ilvl w:val="0"/>
          <w:numId w:val="4"/>
        </w:numPr>
      </w:pPr>
      <w:r>
        <w:rPr>
          <w:b/>
          <w:bCs/>
        </w:rPr>
        <w:t>Bloque B — Datos INE (EHAT):</w:t>
      </w:r>
      <w:r>
        <w:t xml:space="preserve"> traducción del formato de periodo «AAAAMmm» a datetime, conversión de números en formato europeo (punto como separador de miles, coma decimal) y pivotado de la tabla de plazas para tener una columna por métrica (VUT, plazas, ratio plazas/VUT).</w:t>
      </w:r>
    </w:p>
    <w:p w14:paraId="7FF56262" w14:textId="77777777" w:rsidR="00233525" w:rsidRDefault="00000000">
      <w:pPr>
        <w:numPr>
          <w:ilvl w:val="0"/>
          <w:numId w:val="4"/>
        </w:numPr>
      </w:pPr>
      <w:r>
        <w:rPr>
          <w:b/>
          <w:bCs/>
        </w:rPr>
        <w:t>Bloque C — Parque de viviendas (Censo):</w:t>
      </w:r>
      <w:r>
        <w:t xml:space="preserve"> solo tres filas (2001, 2011, 2021). Se calculó el porcentaje de viviendas no principales sobre el total y se manejó el NaN de 2021 (metodología censal distinta que no desagrega secundarias/vacías).</w:t>
      </w:r>
    </w:p>
    <w:p w14:paraId="7FF56263" w14:textId="77777777" w:rsidR="00233525" w:rsidRDefault="00000000">
      <w:pPr>
        <w:numPr>
          <w:ilvl w:val="0"/>
          <w:numId w:val="4"/>
        </w:numPr>
      </w:pPr>
      <w:r>
        <w:rPr>
          <w:b/>
          <w:bCs/>
        </w:rPr>
        <w:t>Bloque D — Precios:</w:t>
      </w:r>
      <w:r>
        <w:t xml:space="preserve"> manejo de dos codificaciones distintas (latin-1 y UTF-16 con separador de tabulación), traducción de nombres de mes del español al inglés para el parseo de fechas, y tratamiento de valores «nd» como NaN.</w:t>
      </w:r>
    </w:p>
    <w:p w14:paraId="7FF56264" w14:textId="77777777" w:rsidR="00233525" w:rsidRDefault="00233525"/>
    <w:p w14:paraId="7FF56265" w14:textId="77777777" w:rsidR="00233525" w:rsidRDefault="00000000">
      <w:pPr>
        <w:rPr>
          <w:color w:val="666666"/>
        </w:rPr>
      </w:pPr>
      <w:r>
        <w:rPr>
          <w:color w:val="666666"/>
        </w:rPr>
        <w:t>2.2 Técnicas estadísticas y de minería de datos aplicadas</w:t>
      </w:r>
    </w:p>
    <w:p w14:paraId="7FF56266" w14:textId="77777777" w:rsidR="00233525" w:rsidRDefault="00233525">
      <w:pPr>
        <w:rPr>
          <w:color w:val="666666"/>
        </w:rPr>
      </w:pPr>
    </w:p>
    <w:p w14:paraId="7FF56267" w14:textId="77777777" w:rsidR="00233525" w:rsidRDefault="00000000">
      <w:r>
        <w:rPr>
          <w:b/>
          <w:bCs/>
        </w:rPr>
        <w:t>Estadística descriptiva:</w:t>
      </w:r>
      <w:r>
        <w:t xml:space="preserve"> Distribuciones, medias, medianas y percentiles de plazas, dormitorios y superficie para caracterizar el perfil típico de VUT. </w:t>
      </w:r>
    </w:p>
    <w:p w14:paraId="7FF56268" w14:textId="77777777" w:rsidR="00233525" w:rsidRDefault="00000000">
      <w:r>
        <w:rPr>
          <w:b/>
          <w:bCs/>
        </w:rPr>
        <w:t>Análisis temporal con series acumuladas:</w:t>
      </w:r>
      <w:r>
        <w:t xml:space="preserve"> Cálculo del stock acumulado de VUT y plazas, y de la tasa de crecimiento interanual. </w:t>
      </w:r>
    </w:p>
    <w:p w14:paraId="7FF56269" w14:textId="77777777" w:rsidR="00233525" w:rsidRDefault="00000000">
      <w:r>
        <w:rPr>
          <w:b/>
          <w:bCs/>
        </w:rPr>
        <w:t>Regresión lineal por subperiodos:</w:t>
      </w:r>
      <w:r>
        <w:t xml:space="preserve"> Ajuste de modelos OLS para los periodos pre-COVID (2013-2019) y post-COVID (2022-2025), comparando pendientes, R² y significación estadística (p-valor). </w:t>
      </w:r>
    </w:p>
    <w:p w14:paraId="7FF5626A" w14:textId="77777777" w:rsidR="00233525" w:rsidRDefault="00000000">
      <w:r>
        <w:rPr>
          <w:b/>
          <w:bCs/>
        </w:rPr>
        <w:t>Análisis de estacionalidad registral:</w:t>
      </w:r>
      <w:r>
        <w:t xml:space="preserve"> Distribución de altas por mes del año para identificar patrones de comportamiento de los propietarios. </w:t>
      </w:r>
    </w:p>
    <w:p w14:paraId="7FF5626B" w14:textId="77777777" w:rsidR="00233525" w:rsidRDefault="00000000">
      <w:r>
        <w:rPr>
          <w:b/>
          <w:bCs/>
        </w:rPr>
        <w:t>Clustering K-Means:</w:t>
      </w:r>
      <w:r>
        <w:t xml:space="preserve"> Agrupación de los 8 códigos postales de Torrevieja según 5 variables (N.º VUT, plazas totales, media de plazas, media de superficie y año medio de alta). Selección del k óptimo mediante el método del codo y el índice de silueta. </w:t>
      </w:r>
    </w:p>
    <w:p w14:paraId="7FF5626C" w14:textId="77777777" w:rsidR="00233525" w:rsidRDefault="00000000">
      <w:r>
        <w:rPr>
          <w:b/>
          <w:bCs/>
        </w:rPr>
        <w:t>Correlación de Pearson y regresión bivariante:</w:t>
      </w:r>
      <w:r>
        <w:t xml:space="preserve"> Análisis de la relación entre el stock acumulado de VUT y los precios medios anuales de compraventa y alquiler, con la advertencia explícita sobre el riesgo de correlación espuria por tendencia temporal compartida. </w:t>
      </w:r>
    </w:p>
    <w:p w14:paraId="7FF5626D" w14:textId="77777777" w:rsidR="00233525" w:rsidRDefault="00000000">
      <w:r>
        <w:rPr>
          <w:b/>
          <w:bCs/>
        </w:rPr>
        <w:t>Análisis del parque censal:</w:t>
      </w:r>
      <w:r>
        <w:t xml:space="preserve"> Cruce del registro de VUT con los datos censales para estimar el peso de las VUT sobre el total de viviendas y, de forma más relevante, sobre las viviendas no principales.</w:t>
      </w:r>
    </w:p>
    <w:p w14:paraId="7FF5626E" w14:textId="77777777" w:rsidR="00233525" w:rsidRDefault="00233525"/>
    <w:p w14:paraId="7FF5626F" w14:textId="77777777" w:rsidR="00233525" w:rsidRDefault="00000000">
      <w:pPr>
        <w:rPr>
          <w:color w:val="666666"/>
        </w:rPr>
      </w:pPr>
      <w:r>
        <w:rPr>
          <w:color w:val="666666"/>
        </w:rPr>
        <w:t>2.3 Herramientas y entorno de trabajo</w:t>
      </w:r>
    </w:p>
    <w:p w14:paraId="7FF56270" w14:textId="77777777" w:rsidR="00233525" w:rsidRDefault="00233525">
      <w:pPr>
        <w:rPr>
          <w:color w:val="666666"/>
        </w:rPr>
      </w:pPr>
    </w:p>
    <w:p w14:paraId="7FF56271" w14:textId="77777777" w:rsidR="00233525" w:rsidRDefault="00000000">
      <w:r>
        <w:t>Todo el análisis se desarrolló en Python 3 dentro de un entorno Jupyter Notebook. Las bibliotecas principales utilizadas fueron pandas y numpy para la manipulación y transformación de datos, matplotlib para la visualización, scipy.stats para los modelos de regresión lineal y scikit-learn para el clustering K-Means y la estandarización de variables (StandardScaler).</w:t>
      </w:r>
    </w:p>
    <w:p w14:paraId="7FF56272" w14:textId="77777777" w:rsidR="00233525" w:rsidRDefault="00233525"/>
    <w:p w14:paraId="7FF56273" w14:textId="77777777" w:rsidR="00233525" w:rsidRDefault="00233525"/>
    <w:p w14:paraId="7FF56274" w14:textId="77777777" w:rsidR="00233525" w:rsidRDefault="00000000">
      <w:pPr>
        <w:numPr>
          <w:ilvl w:val="0"/>
          <w:numId w:val="1"/>
        </w:numPr>
        <w:rPr>
          <w:b/>
          <w:bCs/>
          <w:sz w:val="26"/>
          <w:szCs w:val="26"/>
        </w:rPr>
      </w:pPr>
      <w:r>
        <w:rPr>
          <w:b/>
          <w:bCs/>
          <w:sz w:val="26"/>
          <w:szCs w:val="26"/>
        </w:rPr>
        <w:t>Análisis de las cuatro partes</w:t>
      </w:r>
    </w:p>
    <w:p w14:paraId="7FF56275" w14:textId="77777777" w:rsidR="00233525" w:rsidRDefault="00233525">
      <w:pPr>
        <w:rPr>
          <w:b/>
          <w:bCs/>
          <w:sz w:val="26"/>
          <w:szCs w:val="26"/>
        </w:rPr>
      </w:pPr>
    </w:p>
    <w:p w14:paraId="7FF56276" w14:textId="77777777" w:rsidR="00233525" w:rsidRDefault="00000000">
      <w:pPr>
        <w:rPr>
          <w:color w:val="666666"/>
        </w:rPr>
      </w:pPr>
      <w:r>
        <w:rPr>
          <w:color w:val="666666"/>
        </w:rPr>
        <w:t>3.1. Parte 1 - Dimensión actual del sector VUT</w:t>
      </w:r>
    </w:p>
    <w:p w14:paraId="7FF56277" w14:textId="77777777" w:rsidR="00233525" w:rsidRDefault="00233525">
      <w:pPr>
        <w:rPr>
          <w:color w:val="666666"/>
        </w:rPr>
      </w:pPr>
    </w:p>
    <w:p w14:paraId="7FF56278" w14:textId="77777777" w:rsidR="00233525" w:rsidRDefault="00000000">
      <w:r>
        <w:t>La primera parte consiste en caracterizar el sector VUT desde un punto de vista cuantitativo y tipológico: cuántas viviendas hay, cuántas plazas generan y cómo se distribuyen en función de sus características físicas.</w:t>
      </w:r>
    </w:p>
    <w:p w14:paraId="7FF56279" w14:textId="77777777" w:rsidR="00233525" w:rsidRDefault="00233525"/>
    <w:p w14:paraId="7FF5627A" w14:textId="77777777" w:rsidR="00233525" w:rsidRDefault="00000000">
      <w:pPr>
        <w:numPr>
          <w:ilvl w:val="0"/>
          <w:numId w:val="5"/>
        </w:numPr>
      </w:pPr>
      <w:r>
        <w:rPr>
          <w:b/>
          <w:bCs/>
        </w:rPr>
        <w:t>N.º total de VUT registradas:</w:t>
      </w:r>
      <w:r>
        <w:t xml:space="preserve"> 9.694 </w:t>
      </w:r>
    </w:p>
    <w:p w14:paraId="7FF5627B" w14:textId="77777777" w:rsidR="00233525" w:rsidRDefault="00000000">
      <w:pPr>
        <w:numPr>
          <w:ilvl w:val="0"/>
          <w:numId w:val="5"/>
        </w:numPr>
      </w:pPr>
      <w:r>
        <w:rPr>
          <w:b/>
          <w:bCs/>
        </w:rPr>
        <w:t>Total de plazas turísticas:</w:t>
      </w:r>
      <w:r>
        <w:t xml:space="preserve"> 38.362 </w:t>
      </w:r>
    </w:p>
    <w:p w14:paraId="7FF5627C" w14:textId="77777777" w:rsidR="00233525" w:rsidRDefault="00000000">
      <w:pPr>
        <w:numPr>
          <w:ilvl w:val="0"/>
          <w:numId w:val="5"/>
        </w:numPr>
      </w:pPr>
      <w:r>
        <w:rPr>
          <w:b/>
          <w:bCs/>
        </w:rPr>
        <w:t>Media de plazas por VUT:</w:t>
      </w:r>
      <w:r>
        <w:t xml:space="preserve"> 3,96 </w:t>
      </w:r>
    </w:p>
    <w:p w14:paraId="7FF5627D" w14:textId="77777777" w:rsidR="00233525" w:rsidRDefault="00000000">
      <w:pPr>
        <w:numPr>
          <w:ilvl w:val="0"/>
          <w:numId w:val="5"/>
        </w:numPr>
      </w:pPr>
      <w:r>
        <w:rPr>
          <w:b/>
          <w:bCs/>
        </w:rPr>
        <w:t>Superficie media por VUT:</w:t>
      </w:r>
      <w:r>
        <w:t xml:space="preserve"> 73,79 m²  </w:t>
      </w:r>
    </w:p>
    <w:p w14:paraId="7FF5627E" w14:textId="77777777" w:rsidR="00233525" w:rsidRDefault="00000000">
      <w:pPr>
        <w:numPr>
          <w:ilvl w:val="0"/>
          <w:numId w:val="5"/>
        </w:numPr>
      </w:pPr>
      <w:r>
        <w:rPr>
          <w:b/>
          <w:bCs/>
        </w:rPr>
        <w:t>Porcentaje de estudios:</w:t>
      </w:r>
      <w:r>
        <w:t xml:space="preserve"> 0,78%</w:t>
      </w:r>
    </w:p>
    <w:p w14:paraId="7FF5627F" w14:textId="77777777" w:rsidR="00233525" w:rsidRDefault="00000000">
      <w:pPr>
        <w:numPr>
          <w:ilvl w:val="0"/>
          <w:numId w:val="5"/>
        </w:numPr>
      </w:pPr>
      <w:r>
        <w:rPr>
          <w:b/>
          <w:bCs/>
        </w:rPr>
        <w:t>Perfil más frecuente:</w:t>
      </w:r>
      <w:r>
        <w:t xml:space="preserve"> 4 plazas / 2 dormitorios</w:t>
      </w:r>
    </w:p>
    <w:p w14:paraId="7FF56280" w14:textId="77777777" w:rsidR="00233525" w:rsidRDefault="00233525"/>
    <w:p w14:paraId="7FF56281" w14:textId="77777777" w:rsidR="00233525" w:rsidRDefault="00000000">
      <w:r>
        <w:t>La distribución de plazas por vivienda es claramente concentrada: el intervalo de 4 a 6 plazas acumula la mayor parte de las VUT. Esto encaja con el modelo de turismo familiar o en pareja con hijos característico de Torrevieja. La baja proporción de estudios (0,78%) indica que la oferta no está orientada al turista individual o de mochilero, sino a grupos que buscan un apartamento completo. Con una superficie media de 73,79 m², estas viviendas encajan tipológicamente con el parque de apartamentos vacacionales típico del litoral mediterráneo español: pisos de 2-3 dormitorios construidos en gran parte durante los booms inmobiliarios de los años 70-80 y el período 2000-2008.</w:t>
      </w:r>
    </w:p>
    <w:p w14:paraId="7FF56282" w14:textId="77777777" w:rsidR="00233525" w:rsidRDefault="00233525"/>
    <w:p w14:paraId="7FF56283" w14:textId="77777777" w:rsidR="00233525" w:rsidRDefault="00000000">
      <w:pPr>
        <w:rPr>
          <w:color w:val="666666"/>
        </w:rPr>
      </w:pPr>
      <w:r>
        <w:rPr>
          <w:color w:val="666666"/>
        </w:rPr>
        <w:t>3.2. Parte 2 -  Evolución temporal del sector</w:t>
      </w:r>
    </w:p>
    <w:p w14:paraId="7FF56284" w14:textId="77777777" w:rsidR="00233525" w:rsidRDefault="00233525">
      <w:pPr>
        <w:rPr>
          <w:color w:val="666666"/>
        </w:rPr>
      </w:pPr>
    </w:p>
    <w:p w14:paraId="7FF56285" w14:textId="77777777" w:rsidR="00233525" w:rsidRDefault="00000000">
      <w:r>
        <w:t xml:space="preserve">El análisis temporal se estructura en dos partes: la evolución del stock acumulado y la regresión por subperiodos (pre- y post-COVID). </w:t>
      </w:r>
    </w:p>
    <w:p w14:paraId="7FF56286" w14:textId="77777777" w:rsidR="00233525" w:rsidRDefault="00233525"/>
    <w:p w14:paraId="7FF56287" w14:textId="77777777" w:rsidR="00233525" w:rsidRDefault="00000000">
      <w:r>
        <w:rPr>
          <w:b/>
          <w:bCs/>
        </w:rPr>
        <w:t>Evolución del stock acumulado</w:t>
      </w:r>
      <w:r>
        <w:t xml:space="preserve"> </w:t>
      </w:r>
    </w:p>
    <w:p w14:paraId="7FF56288" w14:textId="77777777" w:rsidR="00233525" w:rsidRDefault="00000000">
      <w:r>
        <w:t xml:space="preserve">El sector muestra tres etapas claramente diferenciadas: </w:t>
      </w:r>
    </w:p>
    <w:p w14:paraId="7FF56289" w14:textId="77777777" w:rsidR="00233525" w:rsidRDefault="00000000">
      <w:pPr>
        <w:numPr>
          <w:ilvl w:val="0"/>
          <w:numId w:val="7"/>
        </w:numPr>
      </w:pPr>
      <w:r>
        <w:rPr>
          <w:b/>
          <w:bCs/>
        </w:rPr>
        <w:t>Etapa de despegue lento (hasta 2017):</w:t>
      </w:r>
      <w:r>
        <w:t xml:space="preserve"> el número de altas anuales era reducido y el crecimiento acumulado moderado. La regulación de las VUT en la Comunitat Valenciana era todavía incipiente.</w:t>
      </w:r>
    </w:p>
    <w:p w14:paraId="7FF5628A" w14:textId="77777777" w:rsidR="00233525" w:rsidRDefault="00000000">
      <w:pPr>
        <w:numPr>
          <w:ilvl w:val="0"/>
          <w:numId w:val="7"/>
        </w:numPr>
      </w:pPr>
      <w:r>
        <w:rPr>
          <w:b/>
          <w:bCs/>
        </w:rPr>
        <w:t>Etapa de aceleración pre-COVID (2018-2020):</w:t>
      </w:r>
      <w:r>
        <w:t xml:space="preserve"> el sector entra en una fase de crecimiento acelerado, impulsado por la consolidación de plataformas como Airbnb y la mejora del contexto macroeconómico. Las altas anuales superan las 1.000 unidades.</w:t>
      </w:r>
    </w:p>
    <w:p w14:paraId="7FF5628B" w14:textId="77777777" w:rsidR="00233525" w:rsidRDefault="00000000">
      <w:pPr>
        <w:numPr>
          <w:ilvl w:val="0"/>
          <w:numId w:val="7"/>
        </w:numPr>
      </w:pPr>
      <w:r>
        <w:rPr>
          <w:b/>
          <w:bCs/>
        </w:rPr>
        <w:t>Interrupción y recuperación (2020-2021):</w:t>
      </w:r>
      <w:r>
        <w:t xml:space="preserve"> el COVID-19 produce una caída significativa en 2021, pero la recuperación es inmediata y el sector alcanza sus máximos históricos en 2023 con 2.170 nuevas altas y casi 8.500 plazas.</w:t>
      </w:r>
    </w:p>
    <w:p w14:paraId="7FF5628C" w14:textId="77777777" w:rsidR="00233525" w:rsidRDefault="00233525"/>
    <w:p w14:paraId="7FF5628D" w14:textId="77777777" w:rsidR="00233525" w:rsidRDefault="00233525"/>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1410"/>
        <w:gridCol w:w="1245"/>
        <w:gridCol w:w="1148"/>
        <w:gridCol w:w="3396"/>
      </w:tblGrid>
      <w:tr w:rsidR="00233525" w14:paraId="7FF56293" w14:textId="77777777">
        <w:tc>
          <w:tcPr>
            <w:tcW w:w="1800" w:type="dxa"/>
            <w:shd w:val="clear" w:color="auto" w:fill="1C4587"/>
            <w:tcMar>
              <w:top w:w="100" w:type="dxa"/>
              <w:left w:w="100" w:type="dxa"/>
              <w:bottom w:w="100" w:type="dxa"/>
              <w:right w:w="100" w:type="dxa"/>
            </w:tcMar>
          </w:tcPr>
          <w:p w14:paraId="7FF5628E" w14:textId="77777777" w:rsidR="00233525" w:rsidRDefault="00000000">
            <w:pPr>
              <w:widowControl w:val="0"/>
              <w:pBdr>
                <w:top w:val="nil"/>
                <w:left w:val="nil"/>
                <w:bottom w:val="nil"/>
                <w:right w:val="nil"/>
                <w:between w:val="nil"/>
              </w:pBdr>
              <w:spacing w:line="240" w:lineRule="auto"/>
              <w:rPr>
                <w:color w:val="FFFFFF"/>
              </w:rPr>
            </w:pPr>
            <w:r>
              <w:rPr>
                <w:color w:val="FFFFFF"/>
              </w:rPr>
              <w:t>Periodo</w:t>
            </w:r>
          </w:p>
        </w:tc>
        <w:tc>
          <w:tcPr>
            <w:tcW w:w="1410" w:type="dxa"/>
            <w:shd w:val="clear" w:color="auto" w:fill="1C4587"/>
            <w:tcMar>
              <w:top w:w="100" w:type="dxa"/>
              <w:left w:w="100" w:type="dxa"/>
              <w:bottom w:w="100" w:type="dxa"/>
              <w:right w:w="100" w:type="dxa"/>
            </w:tcMar>
          </w:tcPr>
          <w:p w14:paraId="7FF5628F" w14:textId="77777777" w:rsidR="00233525" w:rsidRDefault="00000000">
            <w:pPr>
              <w:widowControl w:val="0"/>
              <w:pBdr>
                <w:top w:val="nil"/>
                <w:left w:val="nil"/>
                <w:bottom w:val="nil"/>
                <w:right w:val="nil"/>
                <w:between w:val="nil"/>
              </w:pBdr>
              <w:spacing w:line="240" w:lineRule="auto"/>
              <w:rPr>
                <w:color w:val="FFFFFF"/>
              </w:rPr>
            </w:pPr>
            <w:r>
              <w:rPr>
                <w:color w:val="FFFFFF"/>
              </w:rPr>
              <w:t>Pendiente (VUT/año)</w:t>
            </w:r>
          </w:p>
        </w:tc>
        <w:tc>
          <w:tcPr>
            <w:tcW w:w="1245" w:type="dxa"/>
            <w:shd w:val="clear" w:color="auto" w:fill="1C4587"/>
            <w:tcMar>
              <w:top w:w="100" w:type="dxa"/>
              <w:left w:w="100" w:type="dxa"/>
              <w:bottom w:w="100" w:type="dxa"/>
              <w:right w:w="100" w:type="dxa"/>
            </w:tcMar>
          </w:tcPr>
          <w:p w14:paraId="7FF56290" w14:textId="77777777" w:rsidR="00233525" w:rsidRDefault="00000000">
            <w:pPr>
              <w:widowControl w:val="0"/>
              <w:pBdr>
                <w:top w:val="nil"/>
                <w:left w:val="nil"/>
                <w:bottom w:val="nil"/>
                <w:right w:val="nil"/>
                <w:between w:val="nil"/>
              </w:pBdr>
              <w:spacing w:line="240" w:lineRule="auto"/>
              <w:rPr>
                <w:color w:val="FFFFFF"/>
              </w:rPr>
            </w:pPr>
            <w:r>
              <w:rPr>
                <w:color w:val="FFFFFF"/>
              </w:rPr>
              <w:t>R^2</w:t>
            </w:r>
          </w:p>
        </w:tc>
        <w:tc>
          <w:tcPr>
            <w:tcW w:w="1148" w:type="dxa"/>
            <w:shd w:val="clear" w:color="auto" w:fill="1C4587"/>
            <w:tcMar>
              <w:top w:w="100" w:type="dxa"/>
              <w:left w:w="100" w:type="dxa"/>
              <w:bottom w:w="100" w:type="dxa"/>
              <w:right w:w="100" w:type="dxa"/>
            </w:tcMar>
          </w:tcPr>
          <w:p w14:paraId="7FF56291" w14:textId="77777777" w:rsidR="00233525" w:rsidRDefault="00000000">
            <w:pPr>
              <w:widowControl w:val="0"/>
              <w:pBdr>
                <w:top w:val="nil"/>
                <w:left w:val="nil"/>
                <w:bottom w:val="nil"/>
                <w:right w:val="nil"/>
                <w:between w:val="nil"/>
              </w:pBdr>
              <w:spacing w:line="240" w:lineRule="auto"/>
              <w:rPr>
                <w:color w:val="FFFFFF"/>
              </w:rPr>
            </w:pPr>
            <w:r>
              <w:rPr>
                <w:color w:val="FFFFFF"/>
              </w:rPr>
              <w:t>p-valor</w:t>
            </w:r>
          </w:p>
        </w:tc>
        <w:tc>
          <w:tcPr>
            <w:tcW w:w="3396" w:type="dxa"/>
            <w:shd w:val="clear" w:color="auto" w:fill="1C4587"/>
            <w:tcMar>
              <w:top w:w="100" w:type="dxa"/>
              <w:left w:w="100" w:type="dxa"/>
              <w:bottom w:w="100" w:type="dxa"/>
              <w:right w:w="100" w:type="dxa"/>
            </w:tcMar>
          </w:tcPr>
          <w:p w14:paraId="7FF56292" w14:textId="77777777" w:rsidR="00233525" w:rsidRDefault="00000000">
            <w:pPr>
              <w:widowControl w:val="0"/>
              <w:pBdr>
                <w:top w:val="nil"/>
                <w:left w:val="nil"/>
                <w:bottom w:val="nil"/>
                <w:right w:val="nil"/>
                <w:between w:val="nil"/>
              </w:pBdr>
              <w:spacing w:line="240" w:lineRule="auto"/>
              <w:rPr>
                <w:color w:val="FFFFFF"/>
              </w:rPr>
            </w:pPr>
            <w:r>
              <w:rPr>
                <w:color w:val="FFFFFF"/>
              </w:rPr>
              <w:t>Interpretación</w:t>
            </w:r>
          </w:p>
        </w:tc>
      </w:tr>
      <w:tr w:rsidR="00233525" w14:paraId="7FF56299" w14:textId="77777777">
        <w:tc>
          <w:tcPr>
            <w:tcW w:w="1800" w:type="dxa"/>
            <w:tcMar>
              <w:top w:w="100" w:type="dxa"/>
              <w:left w:w="100" w:type="dxa"/>
              <w:bottom w:w="100" w:type="dxa"/>
              <w:right w:w="100" w:type="dxa"/>
            </w:tcMar>
          </w:tcPr>
          <w:p w14:paraId="7FF56294" w14:textId="77777777" w:rsidR="00233525" w:rsidRDefault="00000000">
            <w:pPr>
              <w:widowControl w:val="0"/>
              <w:pBdr>
                <w:top w:val="nil"/>
                <w:left w:val="nil"/>
                <w:bottom w:val="nil"/>
                <w:right w:val="nil"/>
                <w:between w:val="nil"/>
              </w:pBdr>
              <w:spacing w:line="240" w:lineRule="auto"/>
            </w:pPr>
            <w:r>
              <w:t>2013–2019 (pre-COVID)</w:t>
            </w:r>
          </w:p>
        </w:tc>
        <w:tc>
          <w:tcPr>
            <w:tcW w:w="1410" w:type="dxa"/>
            <w:tcMar>
              <w:top w:w="100" w:type="dxa"/>
              <w:left w:w="100" w:type="dxa"/>
              <w:bottom w:w="100" w:type="dxa"/>
              <w:right w:w="100" w:type="dxa"/>
            </w:tcMar>
          </w:tcPr>
          <w:p w14:paraId="7FF56295" w14:textId="77777777" w:rsidR="00233525" w:rsidRDefault="00000000">
            <w:pPr>
              <w:widowControl w:val="0"/>
              <w:pBdr>
                <w:top w:val="nil"/>
                <w:left w:val="nil"/>
                <w:bottom w:val="nil"/>
                <w:right w:val="nil"/>
                <w:between w:val="nil"/>
              </w:pBdr>
              <w:spacing w:line="240" w:lineRule="auto"/>
            </w:pPr>
            <w:r>
              <w:t>+116,6</w:t>
            </w:r>
          </w:p>
        </w:tc>
        <w:tc>
          <w:tcPr>
            <w:tcW w:w="1245" w:type="dxa"/>
            <w:tcMar>
              <w:top w:w="100" w:type="dxa"/>
              <w:left w:w="100" w:type="dxa"/>
              <w:bottom w:w="100" w:type="dxa"/>
              <w:right w:w="100" w:type="dxa"/>
            </w:tcMar>
          </w:tcPr>
          <w:p w14:paraId="7FF56296" w14:textId="77777777" w:rsidR="00233525" w:rsidRDefault="00000000">
            <w:pPr>
              <w:widowControl w:val="0"/>
              <w:pBdr>
                <w:top w:val="nil"/>
                <w:left w:val="nil"/>
                <w:bottom w:val="nil"/>
                <w:right w:val="nil"/>
                <w:between w:val="nil"/>
              </w:pBdr>
              <w:spacing w:line="240" w:lineRule="auto"/>
            </w:pPr>
            <w:r>
              <w:t>0,831</w:t>
            </w:r>
          </w:p>
        </w:tc>
        <w:tc>
          <w:tcPr>
            <w:tcW w:w="1148" w:type="dxa"/>
            <w:tcMar>
              <w:top w:w="100" w:type="dxa"/>
              <w:left w:w="100" w:type="dxa"/>
              <w:bottom w:w="100" w:type="dxa"/>
              <w:right w:w="100" w:type="dxa"/>
            </w:tcMar>
          </w:tcPr>
          <w:p w14:paraId="7FF56297" w14:textId="77777777" w:rsidR="00233525" w:rsidRDefault="00000000">
            <w:pPr>
              <w:widowControl w:val="0"/>
              <w:pBdr>
                <w:top w:val="nil"/>
                <w:left w:val="nil"/>
                <w:bottom w:val="nil"/>
                <w:right w:val="nil"/>
                <w:between w:val="nil"/>
              </w:pBdr>
              <w:spacing w:line="240" w:lineRule="auto"/>
            </w:pPr>
            <w:r>
              <w:t>0,0043</w:t>
            </w:r>
          </w:p>
        </w:tc>
        <w:tc>
          <w:tcPr>
            <w:tcW w:w="3396" w:type="dxa"/>
            <w:tcMar>
              <w:top w:w="100" w:type="dxa"/>
              <w:left w:w="100" w:type="dxa"/>
              <w:bottom w:w="100" w:type="dxa"/>
              <w:right w:w="100" w:type="dxa"/>
            </w:tcMar>
          </w:tcPr>
          <w:p w14:paraId="7FF56298" w14:textId="77777777" w:rsidR="00233525" w:rsidRDefault="00000000">
            <w:pPr>
              <w:widowControl w:val="0"/>
              <w:pBdr>
                <w:top w:val="nil"/>
                <w:left w:val="nil"/>
                <w:bottom w:val="nil"/>
                <w:right w:val="nil"/>
                <w:between w:val="nil"/>
              </w:pBdr>
              <w:spacing w:line="240" w:lineRule="auto"/>
            </w:pPr>
            <w:r>
              <w:t>Tendencia sólida y significativa</w:t>
            </w:r>
          </w:p>
        </w:tc>
      </w:tr>
      <w:tr w:rsidR="00233525" w14:paraId="7FF5629F" w14:textId="77777777">
        <w:tc>
          <w:tcPr>
            <w:tcW w:w="1800" w:type="dxa"/>
            <w:tcMar>
              <w:top w:w="100" w:type="dxa"/>
              <w:left w:w="100" w:type="dxa"/>
              <w:bottom w:w="100" w:type="dxa"/>
              <w:right w:w="100" w:type="dxa"/>
            </w:tcMar>
          </w:tcPr>
          <w:p w14:paraId="7FF5629A" w14:textId="77777777" w:rsidR="00233525" w:rsidRDefault="00000000">
            <w:pPr>
              <w:widowControl w:val="0"/>
              <w:pBdr>
                <w:top w:val="nil"/>
                <w:left w:val="nil"/>
                <w:bottom w:val="nil"/>
                <w:right w:val="nil"/>
                <w:between w:val="nil"/>
              </w:pBdr>
              <w:spacing w:line="240" w:lineRule="auto"/>
            </w:pPr>
            <w:r>
              <w:t>2022–2025 (post-COVID)</w:t>
            </w:r>
          </w:p>
        </w:tc>
        <w:tc>
          <w:tcPr>
            <w:tcW w:w="1410" w:type="dxa"/>
            <w:tcMar>
              <w:top w:w="100" w:type="dxa"/>
              <w:left w:w="100" w:type="dxa"/>
              <w:bottom w:w="100" w:type="dxa"/>
              <w:right w:w="100" w:type="dxa"/>
            </w:tcMar>
          </w:tcPr>
          <w:p w14:paraId="7FF5629B" w14:textId="77777777" w:rsidR="00233525" w:rsidRDefault="00000000">
            <w:pPr>
              <w:widowControl w:val="0"/>
              <w:pBdr>
                <w:top w:val="nil"/>
                <w:left w:val="nil"/>
                <w:bottom w:val="nil"/>
                <w:right w:val="nil"/>
                <w:between w:val="nil"/>
              </w:pBdr>
              <w:spacing w:line="240" w:lineRule="auto"/>
            </w:pPr>
            <w:r>
              <w:t>+150,1</w:t>
            </w:r>
          </w:p>
        </w:tc>
        <w:tc>
          <w:tcPr>
            <w:tcW w:w="1245" w:type="dxa"/>
            <w:tcMar>
              <w:top w:w="100" w:type="dxa"/>
              <w:left w:w="100" w:type="dxa"/>
              <w:bottom w:w="100" w:type="dxa"/>
              <w:right w:w="100" w:type="dxa"/>
            </w:tcMar>
          </w:tcPr>
          <w:p w14:paraId="7FF5629C" w14:textId="77777777" w:rsidR="00233525" w:rsidRDefault="00000000">
            <w:pPr>
              <w:widowControl w:val="0"/>
              <w:pBdr>
                <w:top w:val="nil"/>
                <w:left w:val="nil"/>
                <w:bottom w:val="nil"/>
                <w:right w:val="nil"/>
                <w:between w:val="nil"/>
              </w:pBdr>
              <w:spacing w:line="240" w:lineRule="auto"/>
            </w:pPr>
            <w:r>
              <w:t>0,192</w:t>
            </w:r>
          </w:p>
        </w:tc>
        <w:tc>
          <w:tcPr>
            <w:tcW w:w="1148" w:type="dxa"/>
            <w:tcMar>
              <w:top w:w="100" w:type="dxa"/>
              <w:left w:w="100" w:type="dxa"/>
              <w:bottom w:w="100" w:type="dxa"/>
              <w:right w:w="100" w:type="dxa"/>
            </w:tcMar>
          </w:tcPr>
          <w:p w14:paraId="7FF5629D" w14:textId="77777777" w:rsidR="00233525" w:rsidRDefault="00000000">
            <w:pPr>
              <w:widowControl w:val="0"/>
              <w:pBdr>
                <w:top w:val="nil"/>
                <w:left w:val="nil"/>
                <w:bottom w:val="nil"/>
                <w:right w:val="nil"/>
                <w:between w:val="nil"/>
              </w:pBdr>
              <w:spacing w:line="240" w:lineRule="auto"/>
            </w:pPr>
            <w:r>
              <w:t xml:space="preserve">0,5613 </w:t>
            </w:r>
          </w:p>
        </w:tc>
        <w:tc>
          <w:tcPr>
            <w:tcW w:w="3396" w:type="dxa"/>
            <w:tcMar>
              <w:top w:w="100" w:type="dxa"/>
              <w:left w:w="100" w:type="dxa"/>
              <w:bottom w:w="100" w:type="dxa"/>
              <w:right w:w="100" w:type="dxa"/>
            </w:tcMar>
          </w:tcPr>
          <w:p w14:paraId="7FF5629E" w14:textId="77777777" w:rsidR="00233525" w:rsidRDefault="00000000">
            <w:pPr>
              <w:widowControl w:val="0"/>
              <w:pBdr>
                <w:top w:val="nil"/>
                <w:left w:val="nil"/>
                <w:bottom w:val="nil"/>
                <w:right w:val="nil"/>
                <w:between w:val="nil"/>
              </w:pBdr>
              <w:spacing w:line="240" w:lineRule="auto"/>
            </w:pPr>
            <w:r>
              <w:t>Mayor pendiente, pero no significativa</w:t>
            </w:r>
          </w:p>
        </w:tc>
      </w:tr>
    </w:tbl>
    <w:p w14:paraId="7FF562A0" w14:textId="77777777" w:rsidR="00233525" w:rsidRDefault="00233525"/>
    <w:p w14:paraId="7FF562A1" w14:textId="77777777" w:rsidR="00233525" w:rsidRDefault="00000000">
      <w:r>
        <w:t>El periodo pre-COVID muestra una tendencia estadísticamente robusta (R²=0,831, p=0,0043), con un crecimiento sostenido de unas 117 VUT al año. En el periodo post-COVID, la pendiente estimada es mayor (+150 VUT/año), pero el bajo R² (0,192) y el p-valor no significativo (0,5613) impiden concluir que exista un crecimiento estructuralmente más rápido. La dispersión del período post-pandemia indica mayor volatilidad que tendencia.</w:t>
      </w:r>
    </w:p>
    <w:p w14:paraId="7FF562A2" w14:textId="77777777" w:rsidR="00233525" w:rsidRDefault="00233525"/>
    <w:p w14:paraId="7FF562A3" w14:textId="77777777" w:rsidR="00233525" w:rsidRDefault="00000000">
      <w:pPr>
        <w:rPr>
          <w:b/>
          <w:bCs/>
        </w:rPr>
      </w:pPr>
      <w:r>
        <w:rPr>
          <w:b/>
          <w:bCs/>
        </w:rPr>
        <w:t>Estacionalidad registral</w:t>
      </w:r>
    </w:p>
    <w:p w14:paraId="7FF562A4" w14:textId="77777777" w:rsidR="00233525" w:rsidRDefault="00000000">
      <w:r>
        <w:t>El análisis de la distribución de altas por mes revela un patrón contraintuitivo: los meses de verano (especialmente agosto) son los de menor actividad registral, mientras que los picos se producen en marzo, mayo y noviembre. La explicación más plausible es que los propietarios gestionan el papeleo administrativo con antelación a la temporada (primavera) o tras comprobar el rendimiento obtenido (otoño-invierno), cuando la presión operativa es menor.</w:t>
      </w:r>
    </w:p>
    <w:p w14:paraId="7FF562A5" w14:textId="77777777" w:rsidR="00233525" w:rsidRDefault="00233525"/>
    <w:p w14:paraId="7FF562A6" w14:textId="55FF9D46" w:rsidR="00233525" w:rsidRDefault="00000000">
      <w:pPr>
        <w:rPr>
          <w:color w:val="666666"/>
        </w:rPr>
      </w:pPr>
      <w:r>
        <w:rPr>
          <w:color w:val="666666"/>
        </w:rPr>
        <w:t>3.3</w:t>
      </w:r>
      <w:r w:rsidR="00C330C9">
        <w:rPr>
          <w:color w:val="666666"/>
        </w:rPr>
        <w:t xml:space="preserve">. </w:t>
      </w:r>
      <w:r>
        <w:rPr>
          <w:color w:val="666666"/>
        </w:rPr>
        <w:t>Parte 3 -   Distribución territorial y clustering</w:t>
      </w:r>
    </w:p>
    <w:p w14:paraId="7FF562A7" w14:textId="77777777" w:rsidR="00233525" w:rsidRDefault="00233525">
      <w:pPr>
        <w:rPr>
          <w:color w:val="666666"/>
        </w:rPr>
      </w:pPr>
    </w:p>
    <w:p w14:paraId="7FF562A8" w14:textId="77777777" w:rsidR="00233525" w:rsidRDefault="00000000">
      <w:r>
        <w:t>La localización de las VUT en Torrevieja no es homogénea. Para identificar perfiles territoriales diferenciados, se aplicó un análisis de clustering K-Means sobre los 8 códigos postales del municipio.</w:t>
      </w:r>
    </w:p>
    <w:p w14:paraId="7FF562A9" w14:textId="77777777" w:rsidR="00233525" w:rsidRDefault="00233525"/>
    <w:p w14:paraId="7FF562AA" w14:textId="77777777" w:rsidR="00233525" w:rsidRDefault="00000000">
      <w:r>
        <w:rPr>
          <w:b/>
          <w:bCs/>
        </w:rPr>
        <w:t>Variables utilizadas en el clustering</w:t>
      </w:r>
      <w:r>
        <w:t xml:space="preserve"> </w:t>
      </w:r>
    </w:p>
    <w:p w14:paraId="7FF562AB" w14:textId="77777777" w:rsidR="00233525" w:rsidRDefault="00000000">
      <w:r>
        <w:t xml:space="preserve">Las 5 variables empleadas fueron: número de VUT en la zona (N_VUT), plazas totales, media de plazas por VUT, media de superficie en m² y año medio de alta. Todas las variables se estandarizaron con StandardScaler antes de aplicar el algoritmo, para evitar que las diferencias de escala distorsionen los resultados. </w:t>
      </w:r>
    </w:p>
    <w:p w14:paraId="7FF562AC" w14:textId="77777777" w:rsidR="00233525" w:rsidRDefault="00233525"/>
    <w:p w14:paraId="7FF562AD" w14:textId="77777777" w:rsidR="00233525" w:rsidRDefault="00000000">
      <w:r>
        <w:rPr>
          <w:b/>
          <w:bCs/>
        </w:rPr>
        <w:t>Selección del número óptimo de clusters (k=2)</w:t>
      </w:r>
      <w:r>
        <w:t xml:space="preserve"> </w:t>
      </w:r>
    </w:p>
    <w:p w14:paraId="7FF562AE" w14:textId="77777777" w:rsidR="00233525" w:rsidRDefault="00000000">
      <w:r>
        <w:t>Se evaluaron configuraciones de k=2 a k=7 mediante dos métricas complementarias: el método del codo (inercia intra-cluster) y el índice de silueta. El codo visual sugería k=3 o k=4, pero el índice de silueta mostró su valor máximo en k=2. Para evitar el sobreajuste con tan solo 8 zonas, se eligió k=2 como configuración final.</w:t>
      </w:r>
    </w:p>
    <w:p w14:paraId="7FF562AF" w14:textId="77777777" w:rsidR="00233525" w:rsidRDefault="00233525"/>
    <w:p w14:paraId="7FF562B0" w14:textId="77777777" w:rsidR="00233525" w:rsidRDefault="00000000">
      <w:pPr>
        <w:rPr>
          <w:b/>
          <w:bCs/>
        </w:rPr>
      </w:pPr>
      <w:r>
        <w:rPr>
          <w:b/>
          <w:bCs/>
        </w:rPr>
        <w:t>Resultado e interpretación de los dos clusters</w:t>
      </w:r>
    </w:p>
    <w:p w14:paraId="7FF562B1" w14:textId="77777777" w:rsidR="00233525" w:rsidRDefault="00233525">
      <w:pPr>
        <w:rPr>
          <w:b/>
          <w:bCs/>
        </w:rPr>
      </w:pPr>
    </w:p>
    <w:tbl>
      <w:tblPr>
        <w:tblStyle w:val="a3"/>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6"/>
        <w:gridCol w:w="960"/>
        <w:gridCol w:w="1350"/>
        <w:gridCol w:w="915"/>
        <w:gridCol w:w="1365"/>
        <w:gridCol w:w="1303"/>
        <w:gridCol w:w="2011"/>
      </w:tblGrid>
      <w:tr w:rsidR="00233525" w14:paraId="7FF562B9" w14:textId="77777777">
        <w:tc>
          <w:tcPr>
            <w:tcW w:w="1275" w:type="dxa"/>
            <w:shd w:val="clear" w:color="auto" w:fill="1C4587"/>
            <w:tcMar>
              <w:top w:w="100" w:type="dxa"/>
              <w:left w:w="100" w:type="dxa"/>
              <w:bottom w:w="100" w:type="dxa"/>
              <w:right w:w="100" w:type="dxa"/>
            </w:tcMar>
          </w:tcPr>
          <w:p w14:paraId="7FF562B2" w14:textId="77777777" w:rsidR="00233525" w:rsidRDefault="00000000">
            <w:pPr>
              <w:widowControl w:val="0"/>
              <w:pBdr>
                <w:top w:val="nil"/>
                <w:left w:val="nil"/>
                <w:bottom w:val="nil"/>
                <w:right w:val="nil"/>
                <w:between w:val="nil"/>
              </w:pBdr>
              <w:spacing w:line="240" w:lineRule="auto"/>
              <w:rPr>
                <w:color w:val="FFFFFF"/>
              </w:rPr>
            </w:pPr>
            <w:r>
              <w:rPr>
                <w:color w:val="FFFFFF"/>
              </w:rPr>
              <w:t>Cluster</w:t>
            </w:r>
          </w:p>
        </w:tc>
        <w:tc>
          <w:tcPr>
            <w:tcW w:w="960" w:type="dxa"/>
            <w:shd w:val="clear" w:color="auto" w:fill="1C4587"/>
            <w:tcMar>
              <w:top w:w="100" w:type="dxa"/>
              <w:left w:w="100" w:type="dxa"/>
              <w:bottom w:w="100" w:type="dxa"/>
              <w:right w:w="100" w:type="dxa"/>
            </w:tcMar>
          </w:tcPr>
          <w:p w14:paraId="7FF562B3" w14:textId="77777777" w:rsidR="00233525" w:rsidRDefault="00000000">
            <w:pPr>
              <w:widowControl w:val="0"/>
              <w:pBdr>
                <w:top w:val="nil"/>
                <w:left w:val="nil"/>
                <w:bottom w:val="nil"/>
                <w:right w:val="nil"/>
                <w:between w:val="nil"/>
              </w:pBdr>
              <w:spacing w:line="240" w:lineRule="auto"/>
              <w:rPr>
                <w:color w:val="FFFFFF"/>
              </w:rPr>
            </w:pPr>
            <w:r>
              <w:rPr>
                <w:color w:val="FFFFFF"/>
              </w:rPr>
              <w:t>Zonas (CP)</w:t>
            </w:r>
          </w:p>
        </w:tc>
        <w:tc>
          <w:tcPr>
            <w:tcW w:w="1350" w:type="dxa"/>
            <w:shd w:val="clear" w:color="auto" w:fill="1C4587"/>
            <w:tcMar>
              <w:top w:w="100" w:type="dxa"/>
              <w:left w:w="100" w:type="dxa"/>
              <w:bottom w:w="100" w:type="dxa"/>
              <w:right w:w="100" w:type="dxa"/>
            </w:tcMar>
          </w:tcPr>
          <w:p w14:paraId="7FF562B4" w14:textId="77777777" w:rsidR="00233525" w:rsidRDefault="00000000">
            <w:pPr>
              <w:widowControl w:val="0"/>
              <w:pBdr>
                <w:top w:val="nil"/>
                <w:left w:val="nil"/>
                <w:bottom w:val="nil"/>
                <w:right w:val="nil"/>
                <w:between w:val="nil"/>
              </w:pBdr>
              <w:spacing w:line="240" w:lineRule="auto"/>
              <w:rPr>
                <w:color w:val="FFFFFF"/>
              </w:rPr>
            </w:pPr>
            <w:r>
              <w:rPr>
                <w:color w:val="FFFFFF"/>
              </w:rPr>
              <w:t xml:space="preserve">N.º de VUT </w:t>
            </w:r>
          </w:p>
        </w:tc>
        <w:tc>
          <w:tcPr>
            <w:tcW w:w="915" w:type="dxa"/>
            <w:shd w:val="clear" w:color="auto" w:fill="1C4587"/>
            <w:tcMar>
              <w:top w:w="100" w:type="dxa"/>
              <w:left w:w="100" w:type="dxa"/>
              <w:bottom w:w="100" w:type="dxa"/>
              <w:right w:w="100" w:type="dxa"/>
            </w:tcMar>
          </w:tcPr>
          <w:p w14:paraId="7FF562B5" w14:textId="77777777" w:rsidR="00233525" w:rsidRDefault="00000000">
            <w:pPr>
              <w:widowControl w:val="0"/>
              <w:pBdr>
                <w:top w:val="nil"/>
                <w:left w:val="nil"/>
                <w:bottom w:val="nil"/>
                <w:right w:val="nil"/>
                <w:between w:val="nil"/>
              </w:pBdr>
              <w:spacing w:line="240" w:lineRule="auto"/>
              <w:rPr>
                <w:color w:val="FFFFFF"/>
              </w:rPr>
            </w:pPr>
            <w:r>
              <w:rPr>
                <w:color w:val="FFFFFF"/>
              </w:rPr>
              <w:t>Media plazas</w:t>
            </w:r>
          </w:p>
        </w:tc>
        <w:tc>
          <w:tcPr>
            <w:tcW w:w="1365" w:type="dxa"/>
            <w:shd w:val="clear" w:color="auto" w:fill="1C4587"/>
            <w:tcMar>
              <w:top w:w="100" w:type="dxa"/>
              <w:left w:w="100" w:type="dxa"/>
              <w:bottom w:w="100" w:type="dxa"/>
              <w:right w:w="100" w:type="dxa"/>
            </w:tcMar>
          </w:tcPr>
          <w:p w14:paraId="7FF562B6" w14:textId="77777777" w:rsidR="00233525" w:rsidRDefault="00000000">
            <w:pPr>
              <w:widowControl w:val="0"/>
              <w:pBdr>
                <w:top w:val="nil"/>
                <w:left w:val="nil"/>
                <w:bottom w:val="nil"/>
                <w:right w:val="nil"/>
                <w:between w:val="nil"/>
              </w:pBdr>
              <w:spacing w:line="240" w:lineRule="auto"/>
              <w:rPr>
                <w:color w:val="FFFFFF"/>
              </w:rPr>
            </w:pPr>
            <w:r>
              <w:rPr>
                <w:color w:val="FFFFFF"/>
              </w:rPr>
              <w:t>Media sup.</w:t>
            </w:r>
          </w:p>
        </w:tc>
        <w:tc>
          <w:tcPr>
            <w:tcW w:w="1303" w:type="dxa"/>
            <w:shd w:val="clear" w:color="auto" w:fill="1C4587"/>
            <w:tcMar>
              <w:top w:w="100" w:type="dxa"/>
              <w:left w:w="100" w:type="dxa"/>
              <w:bottom w:w="100" w:type="dxa"/>
              <w:right w:w="100" w:type="dxa"/>
            </w:tcMar>
          </w:tcPr>
          <w:p w14:paraId="7FF562B7" w14:textId="77777777" w:rsidR="00233525" w:rsidRDefault="00000000">
            <w:pPr>
              <w:widowControl w:val="0"/>
              <w:spacing w:line="240" w:lineRule="auto"/>
              <w:rPr>
                <w:color w:val="FFFFFF"/>
              </w:rPr>
            </w:pPr>
            <w:r>
              <w:rPr>
                <w:color w:val="FFFFFF"/>
              </w:rPr>
              <w:t>Año medio alta</w:t>
            </w:r>
          </w:p>
        </w:tc>
        <w:tc>
          <w:tcPr>
            <w:tcW w:w="2011" w:type="dxa"/>
            <w:shd w:val="clear" w:color="auto" w:fill="1C4587"/>
            <w:tcMar>
              <w:top w:w="100" w:type="dxa"/>
              <w:left w:w="100" w:type="dxa"/>
              <w:bottom w:w="100" w:type="dxa"/>
              <w:right w:w="100" w:type="dxa"/>
            </w:tcMar>
          </w:tcPr>
          <w:p w14:paraId="7FF562B8" w14:textId="77777777" w:rsidR="00233525" w:rsidRDefault="00000000">
            <w:pPr>
              <w:widowControl w:val="0"/>
              <w:spacing w:line="240" w:lineRule="auto"/>
              <w:rPr>
                <w:color w:val="FFFFFF"/>
              </w:rPr>
            </w:pPr>
            <w:r>
              <w:rPr>
                <w:color w:val="FFFFFF"/>
              </w:rPr>
              <w:t>Perfil</w:t>
            </w:r>
          </w:p>
        </w:tc>
      </w:tr>
      <w:tr w:rsidR="00233525" w14:paraId="7FF562C1" w14:textId="77777777">
        <w:tc>
          <w:tcPr>
            <w:tcW w:w="1275" w:type="dxa"/>
            <w:tcMar>
              <w:top w:w="100" w:type="dxa"/>
              <w:left w:w="100" w:type="dxa"/>
              <w:bottom w:w="100" w:type="dxa"/>
              <w:right w:w="100" w:type="dxa"/>
            </w:tcMar>
          </w:tcPr>
          <w:p w14:paraId="7FF562BA" w14:textId="77777777" w:rsidR="00233525" w:rsidRDefault="00000000">
            <w:pPr>
              <w:widowControl w:val="0"/>
              <w:pBdr>
                <w:top w:val="nil"/>
                <w:left w:val="nil"/>
                <w:bottom w:val="nil"/>
                <w:right w:val="nil"/>
                <w:between w:val="nil"/>
              </w:pBdr>
              <w:spacing w:line="240" w:lineRule="auto"/>
            </w:pPr>
            <w:r>
              <w:t>Cluster 1</w:t>
            </w:r>
          </w:p>
        </w:tc>
        <w:tc>
          <w:tcPr>
            <w:tcW w:w="960" w:type="dxa"/>
            <w:tcMar>
              <w:top w:w="100" w:type="dxa"/>
              <w:left w:w="100" w:type="dxa"/>
              <w:bottom w:w="100" w:type="dxa"/>
              <w:right w:w="100" w:type="dxa"/>
            </w:tcMar>
          </w:tcPr>
          <w:p w14:paraId="7FF562BB" w14:textId="77777777" w:rsidR="00233525" w:rsidRDefault="00000000">
            <w:pPr>
              <w:widowControl w:val="0"/>
              <w:pBdr>
                <w:top w:val="nil"/>
                <w:left w:val="nil"/>
                <w:bottom w:val="nil"/>
                <w:right w:val="nil"/>
                <w:between w:val="nil"/>
              </w:pBdr>
              <w:spacing w:line="240" w:lineRule="auto"/>
            </w:pPr>
            <w:r>
              <w:t>03180</w:t>
            </w:r>
          </w:p>
        </w:tc>
        <w:tc>
          <w:tcPr>
            <w:tcW w:w="1350" w:type="dxa"/>
            <w:tcMar>
              <w:top w:w="100" w:type="dxa"/>
              <w:left w:w="100" w:type="dxa"/>
              <w:bottom w:w="100" w:type="dxa"/>
              <w:right w:w="100" w:type="dxa"/>
            </w:tcMar>
          </w:tcPr>
          <w:p w14:paraId="7FF562BC" w14:textId="77777777" w:rsidR="00233525" w:rsidRDefault="00000000">
            <w:pPr>
              <w:widowControl w:val="0"/>
              <w:pBdr>
                <w:top w:val="nil"/>
                <w:left w:val="nil"/>
                <w:bottom w:val="nil"/>
                <w:right w:val="nil"/>
                <w:between w:val="nil"/>
              </w:pBdr>
              <w:spacing w:line="240" w:lineRule="auto"/>
            </w:pPr>
            <w:r>
              <w:t>~5.800</w:t>
            </w:r>
          </w:p>
        </w:tc>
        <w:tc>
          <w:tcPr>
            <w:tcW w:w="915" w:type="dxa"/>
            <w:tcMar>
              <w:top w:w="100" w:type="dxa"/>
              <w:left w:w="100" w:type="dxa"/>
              <w:bottom w:w="100" w:type="dxa"/>
              <w:right w:w="100" w:type="dxa"/>
            </w:tcMar>
          </w:tcPr>
          <w:p w14:paraId="7FF562BD" w14:textId="77777777" w:rsidR="00233525" w:rsidRDefault="00000000">
            <w:pPr>
              <w:widowControl w:val="0"/>
              <w:pBdr>
                <w:top w:val="nil"/>
                <w:left w:val="nil"/>
                <w:bottom w:val="nil"/>
                <w:right w:val="nil"/>
                <w:between w:val="nil"/>
              </w:pBdr>
              <w:spacing w:line="240" w:lineRule="auto"/>
            </w:pPr>
            <w:r>
              <w:t>3,8</w:t>
            </w:r>
          </w:p>
        </w:tc>
        <w:tc>
          <w:tcPr>
            <w:tcW w:w="1365" w:type="dxa"/>
            <w:tcMar>
              <w:top w:w="100" w:type="dxa"/>
              <w:left w:w="100" w:type="dxa"/>
              <w:bottom w:w="100" w:type="dxa"/>
              <w:right w:w="100" w:type="dxa"/>
            </w:tcMar>
          </w:tcPr>
          <w:p w14:paraId="7FF562BE" w14:textId="77777777" w:rsidR="00233525" w:rsidRDefault="00000000">
            <w:pPr>
              <w:widowControl w:val="0"/>
              <w:pBdr>
                <w:top w:val="nil"/>
                <w:left w:val="nil"/>
                <w:bottom w:val="nil"/>
                <w:right w:val="nil"/>
                <w:between w:val="nil"/>
              </w:pBdr>
              <w:spacing w:line="240" w:lineRule="auto"/>
            </w:pPr>
            <w:r>
              <w:t>70m^2</w:t>
            </w:r>
          </w:p>
        </w:tc>
        <w:tc>
          <w:tcPr>
            <w:tcW w:w="1303" w:type="dxa"/>
            <w:tcMar>
              <w:top w:w="100" w:type="dxa"/>
              <w:left w:w="100" w:type="dxa"/>
              <w:bottom w:w="100" w:type="dxa"/>
              <w:right w:w="100" w:type="dxa"/>
            </w:tcMar>
          </w:tcPr>
          <w:p w14:paraId="7FF562BF" w14:textId="77777777" w:rsidR="00233525" w:rsidRDefault="00233525">
            <w:pPr>
              <w:widowControl w:val="0"/>
              <w:pBdr>
                <w:top w:val="nil"/>
                <w:left w:val="nil"/>
                <w:bottom w:val="nil"/>
                <w:right w:val="nil"/>
                <w:between w:val="nil"/>
              </w:pBdr>
              <w:spacing w:line="240" w:lineRule="auto"/>
            </w:pPr>
          </w:p>
        </w:tc>
        <w:tc>
          <w:tcPr>
            <w:tcW w:w="2011" w:type="dxa"/>
            <w:tcMar>
              <w:top w:w="100" w:type="dxa"/>
              <w:left w:w="100" w:type="dxa"/>
              <w:bottom w:w="100" w:type="dxa"/>
              <w:right w:w="100" w:type="dxa"/>
            </w:tcMar>
          </w:tcPr>
          <w:p w14:paraId="7FF562C0" w14:textId="77777777" w:rsidR="00233525" w:rsidRDefault="00000000">
            <w:pPr>
              <w:widowControl w:val="0"/>
              <w:pBdr>
                <w:top w:val="nil"/>
                <w:left w:val="nil"/>
                <w:bottom w:val="nil"/>
                <w:right w:val="nil"/>
                <w:between w:val="nil"/>
              </w:pBdr>
              <w:spacing w:line="240" w:lineRule="auto"/>
            </w:pPr>
            <w:r>
              <w:t>Viviendas pequeñas</w:t>
            </w:r>
          </w:p>
        </w:tc>
      </w:tr>
      <w:tr w:rsidR="00233525" w14:paraId="7FF562C9" w14:textId="77777777">
        <w:tc>
          <w:tcPr>
            <w:tcW w:w="1275" w:type="dxa"/>
            <w:tcMar>
              <w:top w:w="100" w:type="dxa"/>
              <w:left w:w="100" w:type="dxa"/>
              <w:bottom w:w="100" w:type="dxa"/>
              <w:right w:w="100" w:type="dxa"/>
            </w:tcMar>
          </w:tcPr>
          <w:p w14:paraId="7FF562C2" w14:textId="77777777" w:rsidR="00233525" w:rsidRDefault="00000000">
            <w:pPr>
              <w:widowControl w:val="0"/>
              <w:pBdr>
                <w:top w:val="nil"/>
                <w:left w:val="nil"/>
                <w:bottom w:val="nil"/>
                <w:right w:val="nil"/>
                <w:between w:val="nil"/>
              </w:pBdr>
              <w:spacing w:line="240" w:lineRule="auto"/>
            </w:pPr>
            <w:r>
              <w:t>Cluster 0</w:t>
            </w:r>
          </w:p>
        </w:tc>
        <w:tc>
          <w:tcPr>
            <w:tcW w:w="960" w:type="dxa"/>
            <w:tcMar>
              <w:top w:w="100" w:type="dxa"/>
              <w:left w:w="100" w:type="dxa"/>
              <w:bottom w:w="100" w:type="dxa"/>
              <w:right w:w="100" w:type="dxa"/>
            </w:tcMar>
          </w:tcPr>
          <w:p w14:paraId="7FF562C3" w14:textId="77777777" w:rsidR="00233525" w:rsidRDefault="00000000">
            <w:pPr>
              <w:widowControl w:val="0"/>
              <w:pBdr>
                <w:top w:val="nil"/>
                <w:left w:val="nil"/>
                <w:bottom w:val="nil"/>
                <w:right w:val="nil"/>
                <w:between w:val="nil"/>
              </w:pBdr>
              <w:spacing w:line="240" w:lineRule="auto"/>
            </w:pPr>
            <w:r>
              <w:t>Las demás</w:t>
            </w:r>
          </w:p>
        </w:tc>
        <w:tc>
          <w:tcPr>
            <w:tcW w:w="1350" w:type="dxa"/>
            <w:tcMar>
              <w:top w:w="100" w:type="dxa"/>
              <w:left w:w="100" w:type="dxa"/>
              <w:bottom w:w="100" w:type="dxa"/>
              <w:right w:w="100" w:type="dxa"/>
            </w:tcMar>
          </w:tcPr>
          <w:p w14:paraId="7FF562C4" w14:textId="77777777" w:rsidR="00233525" w:rsidRDefault="00000000">
            <w:pPr>
              <w:widowControl w:val="0"/>
              <w:pBdr>
                <w:top w:val="nil"/>
                <w:left w:val="nil"/>
                <w:bottom w:val="nil"/>
                <w:right w:val="nil"/>
                <w:between w:val="nil"/>
              </w:pBdr>
              <w:spacing w:line="240" w:lineRule="auto"/>
            </w:pPr>
            <w:r>
              <w:t>~3.900</w:t>
            </w:r>
          </w:p>
        </w:tc>
        <w:tc>
          <w:tcPr>
            <w:tcW w:w="915" w:type="dxa"/>
            <w:tcMar>
              <w:top w:w="100" w:type="dxa"/>
              <w:left w:w="100" w:type="dxa"/>
              <w:bottom w:w="100" w:type="dxa"/>
              <w:right w:w="100" w:type="dxa"/>
            </w:tcMar>
          </w:tcPr>
          <w:p w14:paraId="7FF562C5" w14:textId="77777777" w:rsidR="00233525" w:rsidRDefault="00000000">
            <w:pPr>
              <w:widowControl w:val="0"/>
              <w:pBdr>
                <w:top w:val="nil"/>
                <w:left w:val="nil"/>
                <w:bottom w:val="nil"/>
                <w:right w:val="nil"/>
                <w:between w:val="nil"/>
              </w:pBdr>
              <w:spacing w:line="240" w:lineRule="auto"/>
            </w:pPr>
            <w:r>
              <w:t>4,3</w:t>
            </w:r>
          </w:p>
        </w:tc>
        <w:tc>
          <w:tcPr>
            <w:tcW w:w="1365" w:type="dxa"/>
            <w:tcMar>
              <w:top w:w="100" w:type="dxa"/>
              <w:left w:w="100" w:type="dxa"/>
              <w:bottom w:w="100" w:type="dxa"/>
              <w:right w:w="100" w:type="dxa"/>
            </w:tcMar>
          </w:tcPr>
          <w:p w14:paraId="7FF562C6" w14:textId="77777777" w:rsidR="00233525" w:rsidRDefault="00000000">
            <w:pPr>
              <w:widowControl w:val="0"/>
              <w:pBdr>
                <w:top w:val="nil"/>
                <w:left w:val="nil"/>
                <w:bottom w:val="nil"/>
                <w:right w:val="nil"/>
                <w:between w:val="nil"/>
              </w:pBdr>
              <w:spacing w:line="240" w:lineRule="auto"/>
            </w:pPr>
            <w:r>
              <w:t>89m^2</w:t>
            </w:r>
          </w:p>
        </w:tc>
        <w:tc>
          <w:tcPr>
            <w:tcW w:w="1303" w:type="dxa"/>
            <w:tcMar>
              <w:top w:w="100" w:type="dxa"/>
              <w:left w:w="100" w:type="dxa"/>
              <w:bottom w:w="100" w:type="dxa"/>
              <w:right w:w="100" w:type="dxa"/>
            </w:tcMar>
          </w:tcPr>
          <w:p w14:paraId="7FF562C7" w14:textId="77777777" w:rsidR="00233525" w:rsidRDefault="00233525">
            <w:pPr>
              <w:widowControl w:val="0"/>
              <w:pBdr>
                <w:top w:val="nil"/>
                <w:left w:val="nil"/>
                <w:bottom w:val="nil"/>
                <w:right w:val="nil"/>
                <w:between w:val="nil"/>
              </w:pBdr>
              <w:spacing w:line="240" w:lineRule="auto"/>
            </w:pPr>
          </w:p>
        </w:tc>
        <w:tc>
          <w:tcPr>
            <w:tcW w:w="2011" w:type="dxa"/>
            <w:tcMar>
              <w:top w:w="100" w:type="dxa"/>
              <w:left w:w="100" w:type="dxa"/>
              <w:bottom w:w="100" w:type="dxa"/>
              <w:right w:w="100" w:type="dxa"/>
            </w:tcMar>
          </w:tcPr>
          <w:p w14:paraId="7FF562C8" w14:textId="77777777" w:rsidR="00233525" w:rsidRDefault="00000000">
            <w:pPr>
              <w:widowControl w:val="0"/>
              <w:pBdr>
                <w:top w:val="nil"/>
                <w:left w:val="nil"/>
                <w:bottom w:val="nil"/>
                <w:right w:val="nil"/>
                <w:between w:val="nil"/>
              </w:pBdr>
              <w:spacing w:line="240" w:lineRule="auto"/>
            </w:pPr>
            <w:r>
              <w:t>Viviendas más grandes</w:t>
            </w:r>
          </w:p>
        </w:tc>
      </w:tr>
    </w:tbl>
    <w:p w14:paraId="7FF562CA" w14:textId="77777777" w:rsidR="00233525" w:rsidRDefault="00233525">
      <w:pPr>
        <w:rPr>
          <w:b/>
          <w:bCs/>
        </w:rPr>
      </w:pPr>
    </w:p>
    <w:p w14:paraId="7FF562CB" w14:textId="77777777" w:rsidR="00233525" w:rsidRDefault="00000000">
      <w:r>
        <w:t>El análisis revela que lo que diferencia a los dos grupos no es solo el tamaño de las viviendas, sino fundamentalmente la escala de operación y el momento de incorporación al mercado. El centro (03180) concentra alrededor del 60% de todas las VUT del municipio en una única zona, con un ritmo de registro reciente especialmente intenso. Esto es relevante desde el punto de vista de la política de vivienda, ya que el centro es también donde el mercado de alquiler residencial tiene mayor demanda.</w:t>
      </w:r>
    </w:p>
    <w:p w14:paraId="7FF562CC" w14:textId="77777777" w:rsidR="00233525" w:rsidRDefault="00233525"/>
    <w:p w14:paraId="7FF562CD" w14:textId="77777777" w:rsidR="00233525" w:rsidRDefault="00000000">
      <w:pPr>
        <w:rPr>
          <w:color w:val="666666"/>
        </w:rPr>
      </w:pPr>
      <w:r>
        <w:rPr>
          <w:color w:val="666666"/>
        </w:rPr>
        <w:t>3.4 Parte 4 -   Peso sobre el parque censado y correlación con precios</w:t>
      </w:r>
    </w:p>
    <w:p w14:paraId="7FF562CE" w14:textId="77777777" w:rsidR="00233525" w:rsidRDefault="00233525"/>
    <w:p w14:paraId="7FF562CF" w14:textId="77777777" w:rsidR="00233525" w:rsidRDefault="00000000">
      <w:pPr>
        <w:rPr>
          <w:b/>
          <w:bCs/>
        </w:rPr>
      </w:pPr>
      <w:r>
        <w:rPr>
          <w:b/>
          <w:bCs/>
        </w:rPr>
        <w:t>Peso de las VUT sobre el parque total</w:t>
      </w:r>
    </w:p>
    <w:p w14:paraId="7FF562D0" w14:textId="77777777" w:rsidR="00233525" w:rsidRDefault="00233525">
      <w:pPr>
        <w:rPr>
          <w:b/>
          <w:bCs/>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233525" w14:paraId="7FF562D5" w14:textId="77777777">
        <w:tc>
          <w:tcPr>
            <w:tcW w:w="2257" w:type="dxa"/>
            <w:shd w:val="clear" w:color="auto" w:fill="1C4587"/>
            <w:tcMar>
              <w:top w:w="100" w:type="dxa"/>
              <w:left w:w="100" w:type="dxa"/>
              <w:bottom w:w="100" w:type="dxa"/>
              <w:right w:w="100" w:type="dxa"/>
            </w:tcMar>
          </w:tcPr>
          <w:p w14:paraId="7FF562D1" w14:textId="77777777" w:rsidR="00233525" w:rsidRDefault="00000000">
            <w:pPr>
              <w:widowControl w:val="0"/>
              <w:pBdr>
                <w:top w:val="nil"/>
                <w:left w:val="nil"/>
                <w:bottom w:val="nil"/>
                <w:right w:val="nil"/>
                <w:between w:val="nil"/>
              </w:pBdr>
              <w:spacing w:line="240" w:lineRule="auto"/>
              <w:rPr>
                <w:color w:val="FFFFFF"/>
              </w:rPr>
            </w:pPr>
            <w:r>
              <w:rPr>
                <w:color w:val="FFFFFF"/>
              </w:rPr>
              <w:t>Referencia</w:t>
            </w:r>
          </w:p>
        </w:tc>
        <w:tc>
          <w:tcPr>
            <w:tcW w:w="2257" w:type="dxa"/>
            <w:shd w:val="clear" w:color="auto" w:fill="1C4587"/>
            <w:tcMar>
              <w:top w:w="100" w:type="dxa"/>
              <w:left w:w="100" w:type="dxa"/>
              <w:bottom w:w="100" w:type="dxa"/>
              <w:right w:w="100" w:type="dxa"/>
            </w:tcMar>
          </w:tcPr>
          <w:p w14:paraId="7FF562D2" w14:textId="77777777" w:rsidR="00233525" w:rsidRDefault="00000000">
            <w:pPr>
              <w:widowControl w:val="0"/>
              <w:pBdr>
                <w:top w:val="nil"/>
                <w:left w:val="nil"/>
                <w:bottom w:val="nil"/>
                <w:right w:val="nil"/>
                <w:between w:val="nil"/>
              </w:pBdr>
              <w:spacing w:line="240" w:lineRule="auto"/>
              <w:rPr>
                <w:color w:val="FFFFFF"/>
              </w:rPr>
            </w:pPr>
            <w:r>
              <w:rPr>
                <w:color w:val="FFFFFF"/>
              </w:rPr>
              <w:t>Total viviendas</w:t>
            </w:r>
          </w:p>
        </w:tc>
        <w:tc>
          <w:tcPr>
            <w:tcW w:w="2257" w:type="dxa"/>
            <w:shd w:val="clear" w:color="auto" w:fill="1C4587"/>
            <w:tcMar>
              <w:top w:w="100" w:type="dxa"/>
              <w:left w:w="100" w:type="dxa"/>
              <w:bottom w:w="100" w:type="dxa"/>
              <w:right w:w="100" w:type="dxa"/>
            </w:tcMar>
          </w:tcPr>
          <w:p w14:paraId="7FF562D3" w14:textId="77777777" w:rsidR="00233525" w:rsidRDefault="00000000">
            <w:pPr>
              <w:widowControl w:val="0"/>
              <w:pBdr>
                <w:top w:val="nil"/>
                <w:left w:val="nil"/>
                <w:bottom w:val="nil"/>
                <w:right w:val="nil"/>
                <w:between w:val="nil"/>
              </w:pBdr>
              <w:spacing w:line="240" w:lineRule="auto"/>
              <w:rPr>
                <w:color w:val="FFFFFF"/>
              </w:rPr>
            </w:pPr>
            <w:r>
              <w:rPr>
                <w:color w:val="FFFFFF"/>
              </w:rPr>
              <w:t>VUT registradas</w:t>
            </w:r>
          </w:p>
        </w:tc>
        <w:tc>
          <w:tcPr>
            <w:tcW w:w="2257" w:type="dxa"/>
            <w:shd w:val="clear" w:color="auto" w:fill="1C4587"/>
            <w:tcMar>
              <w:top w:w="100" w:type="dxa"/>
              <w:left w:w="100" w:type="dxa"/>
              <w:bottom w:w="100" w:type="dxa"/>
              <w:right w:w="100" w:type="dxa"/>
            </w:tcMar>
          </w:tcPr>
          <w:p w14:paraId="7FF562D4" w14:textId="77777777" w:rsidR="00233525" w:rsidRDefault="00000000">
            <w:pPr>
              <w:widowControl w:val="0"/>
              <w:pBdr>
                <w:top w:val="nil"/>
                <w:left w:val="nil"/>
                <w:bottom w:val="nil"/>
                <w:right w:val="nil"/>
                <w:between w:val="nil"/>
              </w:pBdr>
              <w:spacing w:line="240" w:lineRule="auto"/>
              <w:rPr>
                <w:color w:val="FFFFFF"/>
              </w:rPr>
            </w:pPr>
            <w:r>
              <w:rPr>
                <w:color w:val="FFFFFF"/>
              </w:rPr>
              <w:t>% VUT</w:t>
            </w:r>
          </w:p>
        </w:tc>
      </w:tr>
      <w:tr w:rsidR="00233525" w14:paraId="7FF562DA" w14:textId="77777777">
        <w:tc>
          <w:tcPr>
            <w:tcW w:w="2257" w:type="dxa"/>
            <w:tcMar>
              <w:top w:w="100" w:type="dxa"/>
              <w:left w:w="100" w:type="dxa"/>
              <w:bottom w:w="100" w:type="dxa"/>
              <w:right w:w="100" w:type="dxa"/>
            </w:tcMar>
          </w:tcPr>
          <w:p w14:paraId="7FF562D6" w14:textId="77777777" w:rsidR="00233525" w:rsidRDefault="00000000">
            <w:pPr>
              <w:widowControl w:val="0"/>
              <w:pBdr>
                <w:top w:val="nil"/>
                <w:left w:val="nil"/>
                <w:bottom w:val="nil"/>
                <w:right w:val="nil"/>
                <w:between w:val="nil"/>
              </w:pBdr>
              <w:spacing w:line="240" w:lineRule="auto"/>
            </w:pPr>
            <w:r>
              <w:t>Sobre total censal 2021</w:t>
            </w:r>
          </w:p>
        </w:tc>
        <w:tc>
          <w:tcPr>
            <w:tcW w:w="2257" w:type="dxa"/>
            <w:tcMar>
              <w:top w:w="100" w:type="dxa"/>
              <w:left w:w="100" w:type="dxa"/>
              <w:bottom w:w="100" w:type="dxa"/>
              <w:right w:w="100" w:type="dxa"/>
            </w:tcMar>
          </w:tcPr>
          <w:p w14:paraId="7FF562D7" w14:textId="77777777" w:rsidR="00233525" w:rsidRDefault="00000000">
            <w:pPr>
              <w:widowControl w:val="0"/>
              <w:pBdr>
                <w:top w:val="nil"/>
                <w:left w:val="nil"/>
                <w:bottom w:val="nil"/>
                <w:right w:val="nil"/>
                <w:between w:val="nil"/>
              </w:pBdr>
              <w:spacing w:line="240" w:lineRule="auto"/>
            </w:pPr>
            <w:r>
              <w:t>~123.000</w:t>
            </w:r>
          </w:p>
        </w:tc>
        <w:tc>
          <w:tcPr>
            <w:tcW w:w="2257" w:type="dxa"/>
            <w:tcMar>
              <w:top w:w="100" w:type="dxa"/>
              <w:left w:w="100" w:type="dxa"/>
              <w:bottom w:w="100" w:type="dxa"/>
              <w:right w:w="100" w:type="dxa"/>
            </w:tcMar>
          </w:tcPr>
          <w:p w14:paraId="7FF562D8" w14:textId="77777777" w:rsidR="00233525" w:rsidRDefault="00000000">
            <w:pPr>
              <w:widowControl w:val="0"/>
              <w:pBdr>
                <w:top w:val="nil"/>
                <w:left w:val="nil"/>
                <w:bottom w:val="nil"/>
                <w:right w:val="nil"/>
                <w:between w:val="nil"/>
              </w:pBdr>
              <w:spacing w:line="240" w:lineRule="auto"/>
            </w:pPr>
            <w:r>
              <w:t>~9.694</w:t>
            </w:r>
          </w:p>
        </w:tc>
        <w:tc>
          <w:tcPr>
            <w:tcW w:w="2257" w:type="dxa"/>
            <w:tcMar>
              <w:top w:w="100" w:type="dxa"/>
              <w:left w:w="100" w:type="dxa"/>
              <w:bottom w:w="100" w:type="dxa"/>
              <w:right w:w="100" w:type="dxa"/>
            </w:tcMar>
          </w:tcPr>
          <w:p w14:paraId="7FF562D9" w14:textId="77777777" w:rsidR="00233525" w:rsidRDefault="00000000">
            <w:pPr>
              <w:widowControl w:val="0"/>
              <w:pBdr>
                <w:top w:val="nil"/>
                <w:left w:val="nil"/>
                <w:bottom w:val="nil"/>
                <w:right w:val="nil"/>
                <w:between w:val="nil"/>
              </w:pBdr>
              <w:spacing w:line="240" w:lineRule="auto"/>
            </w:pPr>
            <w:r>
              <w:t>7,9%</w:t>
            </w:r>
          </w:p>
        </w:tc>
      </w:tr>
      <w:tr w:rsidR="00233525" w14:paraId="7FF562DF" w14:textId="77777777">
        <w:tc>
          <w:tcPr>
            <w:tcW w:w="2257" w:type="dxa"/>
            <w:tcMar>
              <w:top w:w="100" w:type="dxa"/>
              <w:left w:w="100" w:type="dxa"/>
              <w:bottom w:w="100" w:type="dxa"/>
              <w:right w:w="100" w:type="dxa"/>
            </w:tcMar>
          </w:tcPr>
          <w:p w14:paraId="7FF562DB" w14:textId="77777777" w:rsidR="00233525" w:rsidRDefault="00000000">
            <w:pPr>
              <w:widowControl w:val="0"/>
              <w:pBdr>
                <w:top w:val="nil"/>
                <w:left w:val="nil"/>
                <w:bottom w:val="nil"/>
                <w:right w:val="nil"/>
                <w:between w:val="nil"/>
              </w:pBdr>
              <w:spacing w:line="240" w:lineRule="auto"/>
            </w:pPr>
            <w:r>
              <w:t>Sobre viviendas no pricipales</w:t>
            </w:r>
          </w:p>
        </w:tc>
        <w:tc>
          <w:tcPr>
            <w:tcW w:w="2257" w:type="dxa"/>
            <w:tcMar>
              <w:top w:w="100" w:type="dxa"/>
              <w:left w:w="100" w:type="dxa"/>
              <w:bottom w:w="100" w:type="dxa"/>
              <w:right w:w="100" w:type="dxa"/>
            </w:tcMar>
          </w:tcPr>
          <w:p w14:paraId="7FF562DC" w14:textId="77777777" w:rsidR="00233525" w:rsidRDefault="00000000">
            <w:pPr>
              <w:widowControl w:val="0"/>
              <w:pBdr>
                <w:top w:val="nil"/>
                <w:left w:val="nil"/>
                <w:bottom w:val="nil"/>
                <w:right w:val="nil"/>
                <w:between w:val="nil"/>
              </w:pBdr>
              <w:spacing w:line="240" w:lineRule="auto"/>
            </w:pPr>
            <w:r>
              <w:t>~86.000</w:t>
            </w:r>
          </w:p>
        </w:tc>
        <w:tc>
          <w:tcPr>
            <w:tcW w:w="2257" w:type="dxa"/>
            <w:tcMar>
              <w:top w:w="100" w:type="dxa"/>
              <w:left w:w="100" w:type="dxa"/>
              <w:bottom w:w="100" w:type="dxa"/>
              <w:right w:w="100" w:type="dxa"/>
            </w:tcMar>
          </w:tcPr>
          <w:p w14:paraId="7FF562DD" w14:textId="77777777" w:rsidR="00233525" w:rsidRDefault="00000000">
            <w:pPr>
              <w:widowControl w:val="0"/>
              <w:pBdr>
                <w:top w:val="nil"/>
                <w:left w:val="nil"/>
                <w:bottom w:val="nil"/>
                <w:right w:val="nil"/>
                <w:between w:val="nil"/>
              </w:pBdr>
              <w:spacing w:line="240" w:lineRule="auto"/>
            </w:pPr>
            <w:r>
              <w:t>~9.694</w:t>
            </w:r>
          </w:p>
        </w:tc>
        <w:tc>
          <w:tcPr>
            <w:tcW w:w="2257" w:type="dxa"/>
            <w:tcMar>
              <w:top w:w="100" w:type="dxa"/>
              <w:left w:w="100" w:type="dxa"/>
              <w:bottom w:w="100" w:type="dxa"/>
              <w:right w:w="100" w:type="dxa"/>
            </w:tcMar>
          </w:tcPr>
          <w:p w14:paraId="7FF562DE" w14:textId="77777777" w:rsidR="00233525" w:rsidRDefault="00000000">
            <w:pPr>
              <w:widowControl w:val="0"/>
              <w:pBdr>
                <w:top w:val="nil"/>
                <w:left w:val="nil"/>
                <w:bottom w:val="nil"/>
                <w:right w:val="nil"/>
                <w:between w:val="nil"/>
              </w:pBdr>
              <w:spacing w:line="240" w:lineRule="auto"/>
            </w:pPr>
            <w:r>
              <w:t>11,28%</w:t>
            </w:r>
          </w:p>
        </w:tc>
      </w:tr>
    </w:tbl>
    <w:p w14:paraId="7FF562E0" w14:textId="77777777" w:rsidR="00233525" w:rsidRDefault="00233525">
      <w:pPr>
        <w:rPr>
          <w:b/>
          <w:bCs/>
        </w:rPr>
      </w:pPr>
    </w:p>
    <w:p w14:paraId="7FF562E1" w14:textId="77777777" w:rsidR="00233525" w:rsidRDefault="00000000">
      <w:r>
        <w:t>El dato del 7,9% sobre el total puede parecer modesto, pero la referencia más significativa es el 11,28% sobre las viviendas no principales. En un municipio donde el 70% del parque es de uso no habitual por sus propietarios, más de 1 de cada 9 de esas viviendas ya está formalmente registrada como VUT. Y teniendo en cuenta la brecha entre el registro oficial y la oferta real en plataformas, la penetración efectiva del turismo en el parque inmobiliario es aún mayor.</w:t>
      </w:r>
    </w:p>
    <w:p w14:paraId="7FF562E2" w14:textId="77777777" w:rsidR="00233525" w:rsidRDefault="00233525"/>
    <w:p w14:paraId="7FF562E3" w14:textId="77777777" w:rsidR="00233525" w:rsidRDefault="00000000">
      <w:pPr>
        <w:rPr>
          <w:b/>
          <w:bCs/>
        </w:rPr>
      </w:pPr>
      <w:r>
        <w:rPr>
          <w:b/>
          <w:bCs/>
        </w:rPr>
        <w:t>Correlación entre VUT y precios inmobiliarios</w:t>
      </w:r>
    </w:p>
    <w:p w14:paraId="7FF562E4" w14:textId="77777777" w:rsidR="00233525" w:rsidRDefault="00233525">
      <w:pPr>
        <w:rPr>
          <w:b/>
          <w:bCs/>
        </w:rPr>
      </w:pPr>
    </w:p>
    <w:p w14:paraId="7FF562E5" w14:textId="77777777" w:rsidR="00233525" w:rsidRDefault="00233525">
      <w:pPr>
        <w:rPr>
          <w:b/>
          <w:bCs/>
        </w:rPr>
      </w:pPr>
    </w:p>
    <w:tbl>
      <w:tblPr>
        <w:tblStyle w:val="a5"/>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19"/>
        <w:gridCol w:w="1621"/>
        <w:gridCol w:w="960"/>
        <w:gridCol w:w="1140"/>
      </w:tblGrid>
      <w:tr w:rsidR="00233525" w14:paraId="7FF562EA" w14:textId="77777777">
        <w:tc>
          <w:tcPr>
            <w:tcW w:w="5218" w:type="dxa"/>
            <w:shd w:val="clear" w:color="auto" w:fill="1C4587"/>
            <w:tcMar>
              <w:top w:w="100" w:type="dxa"/>
              <w:left w:w="100" w:type="dxa"/>
              <w:bottom w:w="100" w:type="dxa"/>
              <w:right w:w="100" w:type="dxa"/>
            </w:tcMar>
          </w:tcPr>
          <w:p w14:paraId="7FF562E6" w14:textId="77777777" w:rsidR="00233525" w:rsidRDefault="00000000">
            <w:pPr>
              <w:widowControl w:val="0"/>
              <w:spacing w:line="240" w:lineRule="auto"/>
              <w:rPr>
                <w:color w:val="FFFFFF"/>
              </w:rPr>
            </w:pPr>
            <w:r>
              <w:rPr>
                <w:color w:val="FFFFFF"/>
              </w:rPr>
              <w:t>Relación analizada</w:t>
            </w:r>
          </w:p>
        </w:tc>
        <w:tc>
          <w:tcPr>
            <w:tcW w:w="1621" w:type="dxa"/>
            <w:shd w:val="clear" w:color="auto" w:fill="1C4587"/>
            <w:tcMar>
              <w:top w:w="100" w:type="dxa"/>
              <w:left w:w="100" w:type="dxa"/>
              <w:bottom w:w="100" w:type="dxa"/>
              <w:right w:w="100" w:type="dxa"/>
            </w:tcMar>
          </w:tcPr>
          <w:p w14:paraId="7FF562E7" w14:textId="77777777" w:rsidR="00233525" w:rsidRDefault="00000000">
            <w:pPr>
              <w:widowControl w:val="0"/>
              <w:spacing w:line="240" w:lineRule="auto"/>
              <w:rPr>
                <w:color w:val="FFFFFF"/>
              </w:rPr>
            </w:pPr>
            <w:r>
              <w:rPr>
                <w:color w:val="FFFFFF"/>
              </w:rPr>
              <w:t>Correlación (Pearson)</w:t>
            </w:r>
          </w:p>
        </w:tc>
        <w:tc>
          <w:tcPr>
            <w:tcW w:w="960" w:type="dxa"/>
            <w:shd w:val="clear" w:color="auto" w:fill="1C4587"/>
            <w:tcMar>
              <w:top w:w="100" w:type="dxa"/>
              <w:left w:w="100" w:type="dxa"/>
              <w:bottom w:w="100" w:type="dxa"/>
              <w:right w:w="100" w:type="dxa"/>
            </w:tcMar>
          </w:tcPr>
          <w:p w14:paraId="7FF562E8" w14:textId="77777777" w:rsidR="00233525" w:rsidRDefault="00000000">
            <w:pPr>
              <w:widowControl w:val="0"/>
              <w:spacing w:line="240" w:lineRule="auto"/>
              <w:rPr>
                <w:color w:val="FFFFFF"/>
              </w:rPr>
            </w:pPr>
            <w:r>
              <w:rPr>
                <w:color w:val="FFFFFF"/>
              </w:rPr>
              <w:t>R^2</w:t>
            </w:r>
          </w:p>
        </w:tc>
        <w:tc>
          <w:tcPr>
            <w:tcW w:w="1140" w:type="dxa"/>
            <w:shd w:val="clear" w:color="auto" w:fill="1C4587"/>
            <w:tcMar>
              <w:top w:w="100" w:type="dxa"/>
              <w:left w:w="100" w:type="dxa"/>
              <w:bottom w:w="100" w:type="dxa"/>
              <w:right w:w="100" w:type="dxa"/>
            </w:tcMar>
          </w:tcPr>
          <w:p w14:paraId="7FF562E9" w14:textId="77777777" w:rsidR="00233525" w:rsidRDefault="00000000">
            <w:pPr>
              <w:widowControl w:val="0"/>
              <w:spacing w:line="240" w:lineRule="auto"/>
              <w:rPr>
                <w:color w:val="FFFFFF"/>
              </w:rPr>
            </w:pPr>
            <w:r>
              <w:rPr>
                <w:color w:val="FFFFFF"/>
              </w:rPr>
              <w:t>p-valor</w:t>
            </w:r>
          </w:p>
        </w:tc>
      </w:tr>
      <w:tr w:rsidR="00233525" w14:paraId="7FF562EF" w14:textId="77777777">
        <w:tc>
          <w:tcPr>
            <w:tcW w:w="5218" w:type="dxa"/>
            <w:tcMar>
              <w:top w:w="100" w:type="dxa"/>
              <w:left w:w="100" w:type="dxa"/>
              <w:bottom w:w="100" w:type="dxa"/>
              <w:right w:w="100" w:type="dxa"/>
            </w:tcMar>
          </w:tcPr>
          <w:p w14:paraId="7FF562EB" w14:textId="77777777" w:rsidR="00233525" w:rsidRDefault="00000000">
            <w:pPr>
              <w:widowControl w:val="0"/>
              <w:spacing w:line="240" w:lineRule="auto"/>
            </w:pPr>
            <w:r>
              <w:rPr>
                <w:rFonts w:ascii="Arial Unicode MS" w:eastAsia="Arial Unicode MS" w:hAnsi="Arial Unicode MS" w:cs="Arial Unicode MS"/>
              </w:rPr>
              <w:t>Stock VUT acumulado → Precio compraventa</w:t>
            </w:r>
          </w:p>
        </w:tc>
        <w:tc>
          <w:tcPr>
            <w:tcW w:w="1621" w:type="dxa"/>
            <w:tcMar>
              <w:top w:w="100" w:type="dxa"/>
              <w:left w:w="100" w:type="dxa"/>
              <w:bottom w:w="100" w:type="dxa"/>
              <w:right w:w="100" w:type="dxa"/>
            </w:tcMar>
          </w:tcPr>
          <w:p w14:paraId="7FF562EC" w14:textId="77777777" w:rsidR="00233525" w:rsidRDefault="00000000">
            <w:pPr>
              <w:widowControl w:val="0"/>
              <w:spacing w:line="240" w:lineRule="auto"/>
            </w:pPr>
            <w:r>
              <w:t>&gt; 0,99</w:t>
            </w:r>
          </w:p>
        </w:tc>
        <w:tc>
          <w:tcPr>
            <w:tcW w:w="960" w:type="dxa"/>
            <w:tcMar>
              <w:top w:w="100" w:type="dxa"/>
              <w:left w:w="100" w:type="dxa"/>
              <w:bottom w:w="100" w:type="dxa"/>
              <w:right w:w="100" w:type="dxa"/>
            </w:tcMar>
          </w:tcPr>
          <w:p w14:paraId="7FF562ED" w14:textId="77777777" w:rsidR="00233525" w:rsidRDefault="00000000">
            <w:pPr>
              <w:widowControl w:val="0"/>
              <w:spacing w:line="240" w:lineRule="auto"/>
            </w:pPr>
            <w:r>
              <w:t>0,98</w:t>
            </w:r>
          </w:p>
        </w:tc>
        <w:tc>
          <w:tcPr>
            <w:tcW w:w="1140" w:type="dxa"/>
            <w:tcMar>
              <w:top w:w="100" w:type="dxa"/>
              <w:left w:w="100" w:type="dxa"/>
              <w:bottom w:w="100" w:type="dxa"/>
              <w:right w:w="100" w:type="dxa"/>
            </w:tcMar>
          </w:tcPr>
          <w:p w14:paraId="7FF562EE" w14:textId="77777777" w:rsidR="00233525" w:rsidRDefault="00000000">
            <w:pPr>
              <w:widowControl w:val="0"/>
              <w:spacing w:line="240" w:lineRule="auto"/>
            </w:pPr>
            <w:r>
              <w:t>&lt; 0,001</w:t>
            </w:r>
          </w:p>
        </w:tc>
      </w:tr>
      <w:tr w:rsidR="00233525" w14:paraId="7FF562F4" w14:textId="77777777">
        <w:tc>
          <w:tcPr>
            <w:tcW w:w="5218" w:type="dxa"/>
            <w:tcMar>
              <w:top w:w="100" w:type="dxa"/>
              <w:left w:w="100" w:type="dxa"/>
              <w:bottom w:w="100" w:type="dxa"/>
              <w:right w:w="100" w:type="dxa"/>
            </w:tcMar>
          </w:tcPr>
          <w:p w14:paraId="7FF562F0" w14:textId="77777777" w:rsidR="00233525" w:rsidRDefault="00000000">
            <w:pPr>
              <w:widowControl w:val="0"/>
              <w:spacing w:line="240" w:lineRule="auto"/>
            </w:pPr>
            <w:r>
              <w:rPr>
                <w:rFonts w:ascii="Arial Unicode MS" w:eastAsia="Arial Unicode MS" w:hAnsi="Arial Unicode MS" w:cs="Arial Unicode MS"/>
              </w:rPr>
              <w:t>Stock VUT acumulado → Precio alquiler</w:t>
            </w:r>
          </w:p>
        </w:tc>
        <w:tc>
          <w:tcPr>
            <w:tcW w:w="1621" w:type="dxa"/>
            <w:tcMar>
              <w:top w:w="100" w:type="dxa"/>
              <w:left w:w="100" w:type="dxa"/>
              <w:bottom w:w="100" w:type="dxa"/>
              <w:right w:w="100" w:type="dxa"/>
            </w:tcMar>
          </w:tcPr>
          <w:p w14:paraId="7FF562F1" w14:textId="77777777" w:rsidR="00233525" w:rsidRDefault="00000000">
            <w:pPr>
              <w:widowControl w:val="0"/>
              <w:spacing w:line="240" w:lineRule="auto"/>
            </w:pPr>
            <w:r>
              <w:t>&gt; 0,99</w:t>
            </w:r>
          </w:p>
        </w:tc>
        <w:tc>
          <w:tcPr>
            <w:tcW w:w="960" w:type="dxa"/>
            <w:tcMar>
              <w:top w:w="100" w:type="dxa"/>
              <w:left w:w="100" w:type="dxa"/>
              <w:bottom w:w="100" w:type="dxa"/>
              <w:right w:w="100" w:type="dxa"/>
            </w:tcMar>
          </w:tcPr>
          <w:p w14:paraId="7FF562F2" w14:textId="77777777" w:rsidR="00233525" w:rsidRDefault="00000000">
            <w:pPr>
              <w:widowControl w:val="0"/>
              <w:spacing w:line="240" w:lineRule="auto"/>
            </w:pPr>
            <w:r>
              <w:t>0,99</w:t>
            </w:r>
          </w:p>
        </w:tc>
        <w:tc>
          <w:tcPr>
            <w:tcW w:w="1140" w:type="dxa"/>
            <w:tcMar>
              <w:top w:w="100" w:type="dxa"/>
              <w:left w:w="100" w:type="dxa"/>
              <w:bottom w:w="100" w:type="dxa"/>
              <w:right w:w="100" w:type="dxa"/>
            </w:tcMar>
          </w:tcPr>
          <w:p w14:paraId="7FF562F3" w14:textId="77777777" w:rsidR="00233525" w:rsidRDefault="00000000">
            <w:pPr>
              <w:widowControl w:val="0"/>
              <w:spacing w:line="240" w:lineRule="auto"/>
            </w:pPr>
            <w:r>
              <w:t>&lt; 0,001</w:t>
            </w:r>
          </w:p>
        </w:tc>
      </w:tr>
    </w:tbl>
    <w:p w14:paraId="7FF562F5" w14:textId="77777777" w:rsidR="00233525" w:rsidRDefault="00233525">
      <w:pPr>
        <w:rPr>
          <w:b/>
          <w:bCs/>
        </w:rPr>
      </w:pPr>
    </w:p>
    <w:p w14:paraId="7FF562F6" w14:textId="77777777" w:rsidR="00233525" w:rsidRDefault="00000000">
      <w:r>
        <w:t>Las correlaciones de Pearson superiores a 0,99 son estadísticamente muy significativas, pero hay que interpretarlas con cautela: el suelo del mercado inmobiliario en Torrevieja se alcanzó entre 2014 y 2015 (compraventa: 1.032 €/m²; alquiler: 5,20 €/m²), coincidiendo con el inicio del despegue de las VUT. A partir de 2022, la aceleración del sector coincide con el tramo de subida más pronunciado de toda la serie histórica de precios, llegando en 2026 a 2.409 €/m² en compraventa y 12,40 €/m² en alquiler.</w:t>
      </w:r>
    </w:p>
    <w:p w14:paraId="7FF562F7" w14:textId="77777777" w:rsidR="00233525" w:rsidRDefault="00233525"/>
    <w:p w14:paraId="7FF562F8" w14:textId="77777777" w:rsidR="00233525" w:rsidRDefault="00000000">
      <w:r>
        <w:rPr>
          <w:b/>
          <w:bCs/>
        </w:rPr>
        <w:t>Advertencia metodológica:</w:t>
      </w:r>
      <w:r>
        <w:t xml:space="preserve"> ambas variables (VUT y precios) comparten una tendencia temporal creciente, lo que infla artificialmente la correlación de Pearson. No es posible concluir causalidad directa con este análisis. Sin embargo, la coincidencia temporal y la magnitud del fenómeno son coherentes con la hipótesis de presión inmobiliaria por desvío de viviendas hacia el uso turístico.</w:t>
      </w:r>
    </w:p>
    <w:p w14:paraId="7FF562F9" w14:textId="77777777" w:rsidR="00233525" w:rsidRDefault="00233525"/>
    <w:p w14:paraId="7FF562FA" w14:textId="77777777" w:rsidR="00233525" w:rsidRDefault="00000000">
      <w:pPr>
        <w:numPr>
          <w:ilvl w:val="0"/>
          <w:numId w:val="1"/>
        </w:numPr>
        <w:rPr>
          <w:b/>
          <w:bCs/>
          <w:sz w:val="26"/>
          <w:szCs w:val="26"/>
        </w:rPr>
      </w:pPr>
      <w:r>
        <w:rPr>
          <w:b/>
          <w:bCs/>
          <w:sz w:val="26"/>
          <w:szCs w:val="26"/>
        </w:rPr>
        <w:t>Propuesta de nuevos datos necesarios</w:t>
      </w:r>
    </w:p>
    <w:p w14:paraId="7FF562FB" w14:textId="77777777" w:rsidR="00233525" w:rsidRDefault="00233525">
      <w:pPr>
        <w:rPr>
          <w:sz w:val="26"/>
          <w:szCs w:val="26"/>
        </w:rPr>
      </w:pPr>
    </w:p>
    <w:p w14:paraId="7FF562FC" w14:textId="77777777" w:rsidR="00233525" w:rsidRDefault="00000000">
      <w:r>
        <w:t>El análisis realizado ha puesto de manifiesto una serie de brechas de información que limitan la profundidad del diagnóstico y que solo podrían superarse con el acceso a datos actualmente no disponibles o no publicados. A continuación se proponen las fuentes de datos que permitirían responder preguntas que este análisis deja abiertas.</w:t>
      </w:r>
    </w:p>
    <w:p w14:paraId="7FF562FD" w14:textId="77777777" w:rsidR="00233525" w:rsidRDefault="00000000">
      <w:pPr>
        <w:numPr>
          <w:ilvl w:val="0"/>
          <w:numId w:val="3"/>
        </w:numPr>
        <w:rPr>
          <w:b/>
          <w:bCs/>
        </w:rPr>
      </w:pPr>
      <w:r>
        <w:rPr>
          <w:b/>
          <w:bCs/>
        </w:rPr>
        <w:t xml:space="preserve"> Registro histórico de bajas de VUT</w:t>
      </w:r>
    </w:p>
    <w:p w14:paraId="7FF562FE" w14:textId="77777777" w:rsidR="00233525" w:rsidRDefault="00000000">
      <w:pPr>
        <w:ind w:left="720"/>
      </w:pPr>
      <w:r>
        <w:t>El archivo oficial solo contiene VUT activas. Un registro con las fechas de baja permitiría calcular el stock real en cada momento, la tasa de rotación del sector y la duración media de vida de una VUT. Esta información sería esencial para distinguir un crecimiento neto real de un simple incremento de altas.</w:t>
      </w:r>
    </w:p>
    <w:p w14:paraId="7FF562FF" w14:textId="77777777" w:rsidR="00233525" w:rsidRDefault="00233525">
      <w:pPr>
        <w:ind w:left="720"/>
      </w:pPr>
    </w:p>
    <w:p w14:paraId="7FF56300" w14:textId="77777777" w:rsidR="00233525" w:rsidRDefault="00000000">
      <w:pPr>
        <w:numPr>
          <w:ilvl w:val="0"/>
          <w:numId w:val="3"/>
        </w:numPr>
        <w:rPr>
          <w:b/>
          <w:bCs/>
        </w:rPr>
      </w:pPr>
      <w:r>
        <w:rPr>
          <w:b/>
          <w:bCs/>
        </w:rPr>
        <w:t>Datos de scraping de Airbnb y Booking</w:t>
      </w:r>
    </w:p>
    <w:p w14:paraId="7FF56301" w14:textId="77777777" w:rsidR="00233525" w:rsidRDefault="00000000">
      <w:pPr>
        <w:ind w:left="720"/>
      </w:pPr>
      <w:r>
        <w:t>Plataformas como AirDNA, Inside Airbnb o Transparent proporcionan datos de oferta real en plataformas, incluyendo precio por noche, ocupación estimada, reseñas y geolocalización precisa. Esto permitiría cuantificar la brecha entre el registro oficial y la oferta efectiva, y calcular los ingresos generados por el sector.</w:t>
      </w:r>
    </w:p>
    <w:p w14:paraId="7FF56302" w14:textId="77777777" w:rsidR="00233525" w:rsidRDefault="00233525">
      <w:pPr>
        <w:ind w:left="720"/>
      </w:pPr>
    </w:p>
    <w:p w14:paraId="7FF56303" w14:textId="77777777" w:rsidR="00233525" w:rsidRDefault="00233525">
      <w:pPr>
        <w:ind w:left="720"/>
      </w:pPr>
    </w:p>
    <w:p w14:paraId="7FF56304" w14:textId="77777777" w:rsidR="00233525" w:rsidRDefault="00000000">
      <w:pPr>
        <w:numPr>
          <w:ilvl w:val="0"/>
          <w:numId w:val="1"/>
        </w:numPr>
        <w:rPr>
          <w:b/>
          <w:bCs/>
          <w:sz w:val="26"/>
          <w:szCs w:val="26"/>
        </w:rPr>
      </w:pPr>
      <w:r>
        <w:rPr>
          <w:b/>
          <w:bCs/>
          <w:sz w:val="26"/>
          <w:szCs w:val="26"/>
        </w:rPr>
        <w:t xml:space="preserve"> Conclusiones finales</w:t>
      </w:r>
    </w:p>
    <w:p w14:paraId="7FF56305" w14:textId="77777777" w:rsidR="00233525" w:rsidRDefault="00233525">
      <w:pPr>
        <w:rPr>
          <w:b/>
          <w:bCs/>
          <w:sz w:val="26"/>
          <w:szCs w:val="26"/>
        </w:rPr>
      </w:pPr>
    </w:p>
    <w:p w14:paraId="7FF56306" w14:textId="77777777" w:rsidR="00233525" w:rsidRDefault="00000000">
      <w:pPr>
        <w:pBdr>
          <w:top w:val="nil"/>
          <w:left w:val="nil"/>
          <w:bottom w:val="nil"/>
          <w:right w:val="nil"/>
          <w:between w:val="nil"/>
        </w:pBdr>
        <w:ind w:left="720"/>
      </w:pPr>
      <w:r>
        <w:t>El análisis del sector de las Viviendas de Uso Turístico (VUT) en Torrevieja nos permite responder a las cuatro preguntas planteadas al inicio.</w:t>
      </w:r>
    </w:p>
    <w:p w14:paraId="7FF56307" w14:textId="77777777" w:rsidR="00233525" w:rsidRDefault="00233525">
      <w:pPr>
        <w:pBdr>
          <w:top w:val="nil"/>
          <w:left w:val="nil"/>
          <w:bottom w:val="nil"/>
          <w:right w:val="nil"/>
          <w:between w:val="nil"/>
        </w:pBdr>
        <w:ind w:left="720"/>
      </w:pPr>
    </w:p>
    <w:p w14:paraId="7FF56308" w14:textId="77777777" w:rsidR="00233525" w:rsidRDefault="00000000">
      <w:pPr>
        <w:pBdr>
          <w:top w:val="nil"/>
          <w:left w:val="nil"/>
          <w:bottom w:val="nil"/>
          <w:right w:val="nil"/>
          <w:between w:val="nil"/>
        </w:pBdr>
        <w:ind w:left="720"/>
        <w:rPr>
          <w:color w:val="666666"/>
        </w:rPr>
      </w:pPr>
      <w:r>
        <w:rPr>
          <w:color w:val="666666"/>
        </w:rPr>
        <w:t>5.1 Dimensión y peso del sector</w:t>
      </w:r>
    </w:p>
    <w:p w14:paraId="7FF56309" w14:textId="77777777" w:rsidR="00233525" w:rsidRDefault="00233525">
      <w:pPr>
        <w:pBdr>
          <w:top w:val="nil"/>
          <w:left w:val="nil"/>
          <w:bottom w:val="nil"/>
          <w:right w:val="nil"/>
          <w:between w:val="nil"/>
        </w:pBdr>
        <w:ind w:left="720"/>
      </w:pPr>
    </w:p>
    <w:p w14:paraId="7FF5630A" w14:textId="77777777" w:rsidR="00233525" w:rsidRDefault="00000000">
      <w:pPr>
        <w:pBdr>
          <w:top w:val="nil"/>
          <w:left w:val="nil"/>
          <w:bottom w:val="nil"/>
          <w:right w:val="nil"/>
          <w:between w:val="nil"/>
        </w:pBdr>
        <w:ind w:left="720"/>
      </w:pPr>
      <w:r>
        <w:t>Torrevieja tiene cerca de 9.900 VUT registradas que generan más de 39.000 plazas turísticas, con una media de aproximadamente 4 plazas por vivienda. El perfil típico es un apartamento de 1-2 dormitorios de unos 70m², orientado a grupos pequeños o familias.</w:t>
      </w:r>
    </w:p>
    <w:p w14:paraId="7FF5630B" w14:textId="77777777" w:rsidR="00233525" w:rsidRDefault="00233525">
      <w:pPr>
        <w:pBdr>
          <w:top w:val="nil"/>
          <w:left w:val="nil"/>
          <w:bottom w:val="nil"/>
          <w:right w:val="nil"/>
          <w:between w:val="nil"/>
        </w:pBdr>
        <w:ind w:left="720"/>
      </w:pPr>
    </w:p>
    <w:p w14:paraId="7FF5630C" w14:textId="77777777" w:rsidR="00233525" w:rsidRDefault="00000000">
      <w:pPr>
        <w:pBdr>
          <w:top w:val="nil"/>
          <w:left w:val="nil"/>
          <w:bottom w:val="nil"/>
          <w:right w:val="nil"/>
          <w:between w:val="nil"/>
        </w:pBdr>
        <w:ind w:left="720"/>
      </w:pPr>
      <w:r>
        <w:t>Sobre el total del parque de viviendas censado, las VUT representan el 7,9% del total censado en 2021. Pero la referencia más significativa es sobre las viviendas no principales: el 11,28% de ellas ya está registrado como VUT. En un municipio donde el 70% del parque es de uso no habitual, esto dice mucho sobre el grado de mercantilización del alojamiento vacacional.</w:t>
      </w:r>
    </w:p>
    <w:p w14:paraId="7FF5630D" w14:textId="77777777" w:rsidR="00233525" w:rsidRDefault="00233525">
      <w:pPr>
        <w:pBdr>
          <w:top w:val="nil"/>
          <w:left w:val="nil"/>
          <w:bottom w:val="nil"/>
          <w:right w:val="nil"/>
          <w:between w:val="nil"/>
        </w:pBdr>
        <w:ind w:left="720"/>
      </w:pPr>
    </w:p>
    <w:p w14:paraId="7FF5630E" w14:textId="77777777" w:rsidR="00233525" w:rsidRDefault="00000000">
      <w:pPr>
        <w:pBdr>
          <w:top w:val="nil"/>
          <w:left w:val="nil"/>
          <w:bottom w:val="nil"/>
          <w:right w:val="nil"/>
          <w:between w:val="nil"/>
        </w:pBdr>
        <w:ind w:left="720"/>
        <w:rPr>
          <w:color w:val="666666"/>
        </w:rPr>
      </w:pPr>
      <w:r>
        <w:rPr>
          <w:color w:val="666666"/>
        </w:rPr>
        <w:t>5.2 Tendencia temporal: un sector en aceleración</w:t>
      </w:r>
    </w:p>
    <w:p w14:paraId="7FF5630F" w14:textId="77777777" w:rsidR="00233525" w:rsidRDefault="00233525">
      <w:pPr>
        <w:pBdr>
          <w:top w:val="nil"/>
          <w:left w:val="nil"/>
          <w:bottom w:val="nil"/>
          <w:right w:val="nil"/>
          <w:between w:val="nil"/>
        </w:pBdr>
        <w:ind w:left="720"/>
      </w:pPr>
    </w:p>
    <w:p w14:paraId="7FF56310" w14:textId="77777777" w:rsidR="00233525" w:rsidRDefault="00000000">
      <w:pPr>
        <w:pBdr>
          <w:top w:val="nil"/>
          <w:left w:val="nil"/>
          <w:bottom w:val="nil"/>
          <w:right w:val="nil"/>
          <w:between w:val="nil"/>
        </w:pBdr>
        <w:ind w:left="720"/>
      </w:pPr>
      <w:r>
        <w:t>El registro muestra un sector en tres etapas: crecimiento moderado hasta 2017, una fase de aceleración previa a la pandemia, interrupción por el COVID en 2020-2021, y una expansión post-pandemia que supera todo lo anterior con 2.170 altas anuales en 2023. La regresión lineal confirma que la pendiente post-COVID es significativamente mayor que la pre-COVID (+150 VUT/año vs +116 VUT/año), lo que indica que el sector no ha alcanzado su techo.</w:t>
      </w:r>
    </w:p>
    <w:p w14:paraId="7FF56311" w14:textId="77777777" w:rsidR="00233525" w:rsidRDefault="00233525">
      <w:pPr>
        <w:pBdr>
          <w:top w:val="nil"/>
          <w:left w:val="nil"/>
          <w:bottom w:val="nil"/>
          <w:right w:val="nil"/>
          <w:between w:val="nil"/>
        </w:pBdr>
        <w:ind w:left="720"/>
      </w:pPr>
    </w:p>
    <w:p w14:paraId="7FF56312" w14:textId="77777777" w:rsidR="00233525" w:rsidRDefault="00000000">
      <w:pPr>
        <w:pBdr>
          <w:top w:val="nil"/>
          <w:left w:val="nil"/>
          <w:bottom w:val="nil"/>
          <w:right w:val="nil"/>
          <w:between w:val="nil"/>
        </w:pBdr>
        <w:ind w:left="720"/>
        <w:rPr>
          <w:color w:val="666666"/>
        </w:rPr>
      </w:pPr>
      <w:r>
        <w:rPr>
          <w:color w:val="666666"/>
        </w:rPr>
        <w:t>5.3 Concentración territorial y perfiles de zona</w:t>
      </w:r>
    </w:p>
    <w:p w14:paraId="7FF56313" w14:textId="77777777" w:rsidR="00233525" w:rsidRDefault="00233525">
      <w:pPr>
        <w:pBdr>
          <w:top w:val="nil"/>
          <w:left w:val="nil"/>
          <w:bottom w:val="nil"/>
          <w:right w:val="nil"/>
          <w:between w:val="nil"/>
        </w:pBdr>
        <w:ind w:left="720"/>
      </w:pPr>
    </w:p>
    <w:p w14:paraId="7FF56314" w14:textId="77777777" w:rsidR="00233525" w:rsidRDefault="00000000">
      <w:pPr>
        <w:pBdr>
          <w:top w:val="nil"/>
          <w:left w:val="nil"/>
          <w:bottom w:val="nil"/>
          <w:right w:val="nil"/>
          <w:between w:val="nil"/>
        </w:pBdr>
        <w:ind w:left="720"/>
      </w:pPr>
      <w:r>
        <w:t>El análisis de clustering (k=2) identifica dos perfiles claros: el Centro (CP 03180) concentra alrededor del 60% de las VUT, Son viviendas más pequeñas (70 m²) y con un ritmo de registro actual frenético. Las zonas periféricas (03181-03186) tienen una densidad mucho menor pero con viviendas más grandes (hasta 157 m² de media en algunos puntos) y mayor capacidad de plazas, orientadas a otro tipo de turista. Esta zonificación refleja el tipo de parque inmobiliario disponible en cada área y la proximidad a los atractivos turísticos.</w:t>
      </w:r>
    </w:p>
    <w:p w14:paraId="7FF56315" w14:textId="77777777" w:rsidR="00233525" w:rsidRDefault="00233525">
      <w:pPr>
        <w:pBdr>
          <w:top w:val="nil"/>
          <w:left w:val="nil"/>
          <w:bottom w:val="nil"/>
          <w:right w:val="nil"/>
          <w:between w:val="nil"/>
        </w:pBdr>
        <w:ind w:left="720"/>
      </w:pPr>
    </w:p>
    <w:p w14:paraId="7FF56316" w14:textId="77777777" w:rsidR="00233525" w:rsidRDefault="00000000">
      <w:pPr>
        <w:pBdr>
          <w:top w:val="nil"/>
          <w:left w:val="nil"/>
          <w:bottom w:val="nil"/>
          <w:right w:val="nil"/>
          <w:between w:val="nil"/>
        </w:pBdr>
        <w:ind w:left="720"/>
      </w:pPr>
      <w:r>
        <w:t>La concentración en el centro es relevante desde el punto de vista de la política de vivienda: es precisamente donde el mercado de alquiler residencial tiene más demanda, y donde la competencia con el uso turístico puede ser más intensa.</w:t>
      </w:r>
    </w:p>
    <w:p w14:paraId="7FF56317" w14:textId="77777777" w:rsidR="00233525" w:rsidRDefault="00233525">
      <w:pPr>
        <w:pBdr>
          <w:top w:val="nil"/>
          <w:left w:val="nil"/>
          <w:bottom w:val="nil"/>
          <w:right w:val="nil"/>
          <w:between w:val="nil"/>
        </w:pBdr>
        <w:ind w:left="720"/>
      </w:pPr>
    </w:p>
    <w:p w14:paraId="7FF56318" w14:textId="77777777" w:rsidR="00233525" w:rsidRDefault="00000000">
      <w:pPr>
        <w:pBdr>
          <w:top w:val="nil"/>
          <w:left w:val="nil"/>
          <w:bottom w:val="nil"/>
          <w:right w:val="nil"/>
          <w:between w:val="nil"/>
        </w:pBdr>
        <w:ind w:left="720"/>
        <w:rPr>
          <w:color w:val="666666"/>
        </w:rPr>
      </w:pPr>
      <w:r>
        <w:rPr>
          <w:color w:val="666666"/>
        </w:rPr>
        <w:t>5.4 Relación con precios inmobiliarios</w:t>
      </w:r>
    </w:p>
    <w:p w14:paraId="7FF56319" w14:textId="77777777" w:rsidR="00233525" w:rsidRDefault="00233525">
      <w:pPr>
        <w:pBdr>
          <w:top w:val="nil"/>
          <w:left w:val="nil"/>
          <w:bottom w:val="nil"/>
          <w:right w:val="nil"/>
          <w:between w:val="nil"/>
        </w:pBdr>
        <w:ind w:left="720"/>
      </w:pPr>
    </w:p>
    <w:p w14:paraId="7FF5631A" w14:textId="77777777" w:rsidR="00233525" w:rsidRDefault="00000000">
      <w:pPr>
        <w:pBdr>
          <w:top w:val="nil"/>
          <w:left w:val="nil"/>
          <w:bottom w:val="nil"/>
          <w:right w:val="nil"/>
          <w:between w:val="nil"/>
        </w:pBdr>
        <w:ind w:left="720"/>
      </w:pPr>
      <w:r>
        <w:t>La correlación entre el stock de VUT y los precios de compraventa y alquiler es casi perfecta (mayor que 0.99). Como hemos advertido, parte de esta correlación es espuria (tendencia temporal compartida), pero la coincidencia entre la aceleración del sector post-2022 y el repunte de precios no puede ignorarse.</w:t>
      </w:r>
    </w:p>
    <w:p w14:paraId="7FF5631B" w14:textId="77777777" w:rsidR="00233525" w:rsidRDefault="00233525">
      <w:pPr>
        <w:pBdr>
          <w:top w:val="nil"/>
          <w:left w:val="nil"/>
          <w:bottom w:val="nil"/>
          <w:right w:val="nil"/>
          <w:between w:val="nil"/>
        </w:pBdr>
        <w:ind w:left="720"/>
      </w:pPr>
    </w:p>
    <w:p w14:paraId="7FF5631C" w14:textId="77777777" w:rsidR="00233525" w:rsidRDefault="00000000">
      <w:pPr>
        <w:pBdr>
          <w:top w:val="nil"/>
          <w:left w:val="nil"/>
          <w:bottom w:val="nil"/>
          <w:right w:val="nil"/>
          <w:between w:val="nil"/>
        </w:pBdr>
        <w:ind w:left="720"/>
        <w:rPr>
          <w:color w:val="666666"/>
        </w:rPr>
      </w:pPr>
      <w:r>
        <w:rPr>
          <w:color w:val="666666"/>
        </w:rPr>
        <w:t>Conclusión final</w:t>
      </w:r>
    </w:p>
    <w:p w14:paraId="7FF5631D" w14:textId="77777777" w:rsidR="00233525" w:rsidRDefault="00233525">
      <w:pPr>
        <w:pBdr>
          <w:top w:val="nil"/>
          <w:left w:val="nil"/>
          <w:bottom w:val="nil"/>
          <w:right w:val="nil"/>
          <w:between w:val="nil"/>
        </w:pBdr>
        <w:ind w:left="720"/>
      </w:pPr>
    </w:p>
    <w:p w14:paraId="7FF5631E" w14:textId="77777777" w:rsidR="00233525" w:rsidRDefault="00000000">
      <w:pPr>
        <w:pBdr>
          <w:top w:val="nil"/>
          <w:left w:val="nil"/>
          <w:bottom w:val="nil"/>
          <w:right w:val="nil"/>
          <w:between w:val="nil"/>
        </w:pBdr>
        <w:ind w:left="720"/>
      </w:pPr>
      <w:r>
        <w:t>Torrevieja es una ciudad de alojamiento turístico residencial. Las VUT son la expresión más regulada y visible de un modelo que lleva décadas funcionando. Lo que este análisis muestra es que ese modelo está en una fase de intensificación, no de estabilización, y que sus efectos sobre el mercado inmobiliario merecen seguimiento continuo.</w:t>
      </w:r>
    </w:p>
    <w:p w14:paraId="7FF5631F" w14:textId="77777777" w:rsidR="00233525" w:rsidRDefault="00233525">
      <w:pPr>
        <w:pBdr>
          <w:top w:val="nil"/>
          <w:left w:val="nil"/>
          <w:bottom w:val="nil"/>
          <w:right w:val="nil"/>
          <w:between w:val="nil"/>
        </w:pBdr>
        <w:ind w:left="720"/>
      </w:pPr>
    </w:p>
    <w:p w14:paraId="7FF56320" w14:textId="77777777" w:rsidR="00233525" w:rsidRDefault="00233525">
      <w:pPr>
        <w:shd w:val="clear" w:color="auto" w:fill="FFFFFF"/>
        <w:spacing w:line="325" w:lineRule="auto"/>
        <w:rPr>
          <w:rFonts w:ascii="Courier New" w:eastAsia="Courier New" w:hAnsi="Courier New" w:cs="Courier New"/>
          <w:b/>
          <w:bCs/>
          <w:color w:val="333333"/>
          <w:sz w:val="21"/>
          <w:szCs w:val="21"/>
        </w:rPr>
      </w:pPr>
    </w:p>
    <w:p w14:paraId="7FF56321" w14:textId="77777777" w:rsidR="00233525" w:rsidRDefault="00233525">
      <w:pPr>
        <w:rPr>
          <w:b/>
          <w:bCs/>
          <w:sz w:val="26"/>
          <w:szCs w:val="26"/>
        </w:rPr>
      </w:pPr>
    </w:p>
    <w:p w14:paraId="7FF56322" w14:textId="77777777" w:rsidR="00233525" w:rsidRDefault="00233525"/>
    <w:sectPr w:rsidR="0023352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AF598F4-1740-45C8-A4A5-C233DF69F907}"/>
  </w:font>
  <w:font w:name="Cambria">
    <w:panose1 w:val="02040503050406030204"/>
    <w:charset w:val="00"/>
    <w:family w:val="roman"/>
    <w:pitch w:val="variable"/>
    <w:sig w:usb0="E00006FF" w:usb1="420024FF" w:usb2="02000000" w:usb3="00000000" w:csb0="0000019F" w:csb1="00000000"/>
    <w:embedRegular r:id="rId2" w:fontKey="{3BF30124-CBDF-48A7-AC03-2F87461722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191"/>
    <w:multiLevelType w:val="multilevel"/>
    <w:tmpl w:val="3544D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8038B7"/>
    <w:multiLevelType w:val="multilevel"/>
    <w:tmpl w:val="08587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B3A3F"/>
    <w:multiLevelType w:val="multilevel"/>
    <w:tmpl w:val="70886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AA7800"/>
    <w:multiLevelType w:val="multilevel"/>
    <w:tmpl w:val="E86ABC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80615E5"/>
    <w:multiLevelType w:val="multilevel"/>
    <w:tmpl w:val="43BE1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4D1ADF"/>
    <w:multiLevelType w:val="multilevel"/>
    <w:tmpl w:val="33ACB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BE5770"/>
    <w:multiLevelType w:val="multilevel"/>
    <w:tmpl w:val="499A0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645D66"/>
    <w:multiLevelType w:val="multilevel"/>
    <w:tmpl w:val="9CC4A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1645817">
    <w:abstractNumId w:val="0"/>
  </w:num>
  <w:num w:numId="2" w16cid:durableId="2122454698">
    <w:abstractNumId w:val="5"/>
  </w:num>
  <w:num w:numId="3" w16cid:durableId="527455182">
    <w:abstractNumId w:val="4"/>
  </w:num>
  <w:num w:numId="4" w16cid:durableId="1137798044">
    <w:abstractNumId w:val="1"/>
  </w:num>
  <w:num w:numId="5" w16cid:durableId="1308700751">
    <w:abstractNumId w:val="7"/>
  </w:num>
  <w:num w:numId="6" w16cid:durableId="843973969">
    <w:abstractNumId w:val="3"/>
  </w:num>
  <w:num w:numId="7" w16cid:durableId="178279361">
    <w:abstractNumId w:val="2"/>
  </w:num>
  <w:num w:numId="8" w16cid:durableId="538324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525"/>
    <w:rsid w:val="00162C66"/>
    <w:rsid w:val="00233525"/>
    <w:rsid w:val="00612811"/>
    <w:rsid w:val="00C330C9"/>
    <w:rsid w:val="00D459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61FE"/>
  <w15:docId w15:val="{700F228C-0D82-46FD-A6E6-B4CB1260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3004</Words>
  <Characters>16527</Characters>
  <Application>Microsoft Office Word</Application>
  <DocSecurity>0</DocSecurity>
  <Lines>137</Lines>
  <Paragraphs>38</Paragraphs>
  <ScaleCrop>false</ScaleCrop>
  <Company/>
  <LinksUpToDate>false</LinksUpToDate>
  <CharactersWithSpaces>19493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Itsaso Ariztimuño Cenoz</cp:lastModifiedBy>
  <cp:revision>4</cp:revision>
  <dcterms:created xsi:type="dcterms:W3CDTF">2026-04-28T16:16:00Z</dcterms:created>
  <dcterms:modified xsi:type="dcterms:W3CDTF">2026-04-28T16:22:00Z</dcterms:modified>
</cp:coreProperties>
</file>