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numPr>
          <w:ilvl w:val="0"/>
          <w:numId w:val="6"/>
        </w:numPr>
        <w:ind w:left="720" w:hanging="360"/>
        <w:rPr>
          <w:u w:val="none"/>
        </w:rPr>
      </w:pPr>
      <w:bookmarkStart w:colFirst="0" w:colLast="0" w:name="_q48x83bedxt" w:id="0"/>
      <w:bookmarkEnd w:id="0"/>
      <w:r w:rsidDel="00000000" w:rsidR="00000000" w:rsidRPr="00000000">
        <w:rPr>
          <w:rtl w:val="0"/>
        </w:rPr>
        <w:t xml:space="preserve">Introducción y objetivo del trabajo</w:t>
      </w:r>
    </w:p>
    <w:p w:rsidR="00000000" w:rsidDel="00000000" w:rsidP="00000000" w:rsidRDefault="00000000" w:rsidRPr="00000000" w14:paraId="00000002">
      <w:pPr>
        <w:pStyle w:val="Subtitle"/>
        <w:rPr/>
      </w:pPr>
      <w:bookmarkStart w:colFirst="0" w:colLast="0" w:name="_wsayluenwzbr" w:id="1"/>
      <w:bookmarkEnd w:id="1"/>
      <w:r w:rsidDel="00000000" w:rsidR="00000000" w:rsidRPr="00000000">
        <w:rPr>
          <w:rtl w:val="0"/>
        </w:rPr>
      </w:r>
    </w:p>
    <w:p w:rsidR="00000000" w:rsidDel="00000000" w:rsidP="00000000" w:rsidRDefault="00000000" w:rsidRPr="00000000" w14:paraId="00000003">
      <w:pPr>
        <w:pStyle w:val="Subtitle"/>
        <w:rPr/>
      </w:pPr>
      <w:bookmarkStart w:colFirst="0" w:colLast="0" w:name="_u20y5649r95g" w:id="2"/>
      <w:bookmarkEnd w:id="2"/>
      <w:r w:rsidDel="00000000" w:rsidR="00000000" w:rsidRPr="00000000">
        <w:rPr>
          <w:rtl w:val="0"/>
        </w:rPr>
        <w:t xml:space="preserve">1.1 Contexto del municipio</w:t>
      </w:r>
    </w:p>
    <w:p w:rsidR="00000000" w:rsidDel="00000000" w:rsidP="00000000" w:rsidRDefault="00000000" w:rsidRPr="00000000" w14:paraId="00000004">
      <w:pPr>
        <w:rPr/>
      </w:pPr>
      <w:r w:rsidDel="00000000" w:rsidR="00000000" w:rsidRPr="00000000">
        <w:rPr>
          <w:rtl w:val="0"/>
        </w:rPr>
        <w:t xml:space="preserve">Torrevieja es un municipio costero de la provincia de Alicante con un modelo turístico marcadamente residencial: la mayor parte de los visitantes no se alojan en hoteles sino en viviendas propias o arrendadas. Este rasgo estructural convierte al municipio en un laboratorio excepcional para el estudio del alojamiento vacacional. Las plataformas digitales (Airbnb, Booking, etc.) han amplificado y acelerado esta tendencia durante la última década, transformando una práctica informal en un sector económico con regulación propia y creciente peso institucional.</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El municipio cuenta con cerca de 120.000 habitantes empadronados, aunque su población flotante puede triplicar esa cifra en temporada alta. El parque de viviendas supera las 123.000 unidades censadas (INE 2021), de las cuales aproximadamente el 80% son de uso no habitual por sus propietarios, es decir, secundarias o vacías. Esta característica define el ecosistema en el que operan las Viviendas de Uso Turístico (VUT) y explica por qué su análisis resulta especialmente relevante aquí.</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Subtitle"/>
        <w:rPr/>
      </w:pPr>
      <w:bookmarkStart w:colFirst="0" w:colLast="0" w:name="_4cfabjrspp1m" w:id="3"/>
      <w:bookmarkEnd w:id="3"/>
      <w:r w:rsidDel="00000000" w:rsidR="00000000" w:rsidRPr="00000000">
        <w:rPr>
          <w:rtl w:val="0"/>
        </w:rPr>
        <w:t xml:space="preserve">1.2 Objetivo</w:t>
      </w:r>
    </w:p>
    <w:p w:rsidR="00000000" w:rsidDel="00000000" w:rsidP="00000000" w:rsidRDefault="00000000" w:rsidRPr="00000000" w14:paraId="00000009">
      <w:pPr>
        <w:rPr/>
      </w:pPr>
      <w:r w:rsidDel="00000000" w:rsidR="00000000" w:rsidRPr="00000000">
        <w:rPr>
          <w:rtl w:val="0"/>
        </w:rPr>
        <w:t xml:space="preserve">Este informe da respuesta a los cuatro retos planteados en la tercera práctica de la asignatura de Minería de Datos. Cada reto constituye unas preguntas de investigación diferentes sobre Torrevieja:</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bCs w:val="1"/>
          <w:sz w:val="28"/>
          <w:szCs w:val="28"/>
        </w:rPr>
      </w:pPr>
      <w:r w:rsidDel="00000000" w:rsidR="00000000" w:rsidRPr="00000000">
        <w:rPr>
          <w:b w:val="1"/>
          <w:bCs w:val="1"/>
          <w:sz w:val="28"/>
          <w:szCs w:val="28"/>
          <w:rtl w:val="0"/>
        </w:rPr>
        <w:t xml:space="preserve">Reto 3 - </w:t>
      </w:r>
      <w:r w:rsidDel="00000000" w:rsidR="00000000" w:rsidRPr="00000000">
        <w:rPr>
          <w:b w:val="1"/>
          <w:bCs w:val="1"/>
          <w:sz w:val="28"/>
          <w:szCs w:val="28"/>
          <w:rtl w:val="0"/>
        </w:rPr>
        <w:t xml:space="preserve">Viviendas de Uso Turístico (VUT)</w:t>
      </w:r>
    </w:p>
    <w:p w:rsidR="00000000" w:rsidDel="00000000" w:rsidP="00000000" w:rsidRDefault="00000000" w:rsidRPr="00000000" w14:paraId="0000000C">
      <w:pPr>
        <w:rPr>
          <w:b w:val="1"/>
          <w:bCs w:val="1"/>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Las Viviendas de Uso Turístico (VUT) constituyen una parte central del sistema de alojamiento de Torrevieja. El objetivo de este reto es analizar su dimensión, evolución y distribución territorial, así como discutir su papel dentro del modelo turístico residencial.</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En este reto debemos explorar qué información oficial existe sobre las VUT, qué puede medirse con los datos disponibles y qué cuestiones relevantes quedan fuera de esos datos. También analizaremos la concentración espacial de estas viviendas y debatiremos qué efectos puede tener sobre determinadas zonas del municipio.</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 espera que el análisis permita responder, en la medida de lo posible, a las siguientes preguntas:</w:t>
      </w:r>
    </w:p>
    <w:p w:rsidR="00000000" w:rsidDel="00000000" w:rsidP="00000000" w:rsidRDefault="00000000" w:rsidRPr="00000000" w14:paraId="0000001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cuántas VUT pueden identificarse,</w:t>
      </w:r>
    </w:p>
    <w:p w:rsidR="00000000" w:rsidDel="00000000" w:rsidP="00000000" w:rsidRDefault="00000000" w:rsidRPr="00000000" w14:paraId="000000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cómo han evolucionado,</w:t>
      </w:r>
    </w:p>
    <w:p w:rsidR="00000000" w:rsidDel="00000000" w:rsidP="00000000" w:rsidRDefault="00000000" w:rsidRPr="00000000" w14:paraId="0000001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dónde se concentran,</w:t>
      </w:r>
    </w:p>
    <w:p w:rsidR="00000000" w:rsidDel="00000000" w:rsidP="00000000" w:rsidRDefault="00000000" w:rsidRPr="00000000" w14:paraId="0000001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y qué limitaciones tienen las fuentes oficiales para describir la oferta real de alojamiento turístico.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análisis combina estadística descriptiva, visualización de datos, clustering (K-Means) y regresión lineal para responder a estas preguntas de forma rigurosa, poniendo especial atención en las advertencias metodológicas necesarias para una interpretación correcta de los resultados.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sz w:val="24"/>
          <w:szCs w:val="24"/>
        </w:rPr>
      </w:pPr>
      <w:r w:rsidDel="00000000" w:rsidR="00000000" w:rsidRPr="00000000">
        <w:rPr>
          <w:b w:val="1"/>
          <w:bCs w:val="1"/>
          <w:sz w:val="24"/>
          <w:szCs w:val="24"/>
          <w:rtl w:val="0"/>
        </w:rPr>
        <w:t xml:space="preserve">Fuentes de datos utilizadas</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El análisis se apoya en siete conjuntos de datos procedentes de tres administraciones distintas: la Generalitat Valenciana, el Instituto Nacional de Estadística (INE) y fuentes secundarias locales. La combinación de estas fuentes permite contrastar la información y compensar las limitaciones de cada una.</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color w:val="666666"/>
        </w:rPr>
      </w:pPr>
      <w:r w:rsidDel="00000000" w:rsidR="00000000" w:rsidRPr="00000000">
        <w:rPr>
          <w:color w:val="666666"/>
          <w:rtl w:val="0"/>
        </w:rPr>
        <w:t xml:space="preserve">1.1 Registro oficial de VUT - Generalitat Valenciana</w:t>
      </w:r>
    </w:p>
    <w:p w:rsidR="00000000" w:rsidDel="00000000" w:rsidP="00000000" w:rsidRDefault="00000000" w:rsidRPr="00000000" w14:paraId="0000001D">
      <w:pPr>
        <w:rPr>
          <w:color w:val="666666"/>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50"/>
        <w:gridCol w:w="3433.333333333333"/>
        <w:gridCol w:w="2116.666666666667"/>
        <w:tblGridChange w:id="0">
          <w:tblGrid>
            <w:gridCol w:w="3450"/>
            <w:gridCol w:w="3433.333333333333"/>
            <w:gridCol w:w="2116.666666666667"/>
          </w:tblGrid>
        </w:tblGridChange>
      </w:tblGrid>
      <w:tr>
        <w:trPr>
          <w:cantSplit w:val="0"/>
          <w:tblHeader w:val="0"/>
        </w:trPr>
        <w:tc>
          <w:tcPr>
            <w:shd w:fill="073763"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Dataset</w:t>
            </w:r>
          </w:p>
        </w:tc>
        <w:tc>
          <w:tcPr>
            <w:shd w:fill="073763"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Origen</w:t>
            </w:r>
          </w:p>
        </w:tc>
        <w:tc>
          <w:tcPr>
            <w:shd w:fill="073763"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Cobertura temporal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obtenerDocumentoSForms.csv</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Registro de Turisme de la CV</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1996 – 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lista-de-viviendas-turisticas.csv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rPr/>
            </w:pPr>
            <w:r w:rsidDel="00000000" w:rsidR="00000000" w:rsidRPr="00000000">
              <w:rPr>
                <w:rtl w:val="0"/>
              </w:rPr>
              <w:t xml:space="preserve">GVA Open Data (portal abierto)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rPr/>
            </w:pPr>
            <w:r w:rsidDel="00000000" w:rsidR="00000000" w:rsidRPr="00000000">
              <w:rPr>
                <w:rtl w:val="0"/>
              </w:rPr>
              <w:t xml:space="preserve">1993 – 2025</w:t>
            </w:r>
          </w:p>
        </w:tc>
      </w:tr>
    </w:tbl>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El archivo obtenerDocumentoSForms.csv es la fuente principal del análisis. Contiene una fila por cada VUT actualmente dada de alta, con información sobre localización (código postal, dirección), características físicas (superficie, plazas, dormitorios) y fecha de inscripción. Las variables principales son: código registral (CV-VUT-XXXXXX-A), código postal, plazas totales, número de dormitorios, superficie en m² y fecha de alta.</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rtl w:val="0"/>
        </w:rPr>
        <w:t xml:space="preserve">Limitación importante:</w:t>
      </w:r>
      <w:r w:rsidDel="00000000" w:rsidR="00000000" w:rsidRPr="00000000">
        <w:rPr>
          <w:rtl w:val="0"/>
        </w:rPr>
        <w:t xml:space="preserve"> este archivo solo contiene las VUT actualmente activas. No registra las bajas históricas, lo que implica que cualquier análisis de stock acumulado sobreestima ligeramente la oferta real en años pasados.</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color w:val="666666"/>
        </w:rPr>
      </w:pPr>
      <w:r w:rsidDel="00000000" w:rsidR="00000000" w:rsidRPr="00000000">
        <w:rPr>
          <w:color w:val="666666"/>
          <w:rtl w:val="0"/>
        </w:rPr>
        <w:t xml:space="preserve">1.2 Estadísticas INE (EHAT y Censo de Población y Viviendas)</w:t>
      </w:r>
    </w:p>
    <w:p w:rsidR="00000000" w:rsidDel="00000000" w:rsidP="00000000" w:rsidRDefault="00000000" w:rsidRPr="00000000" w14:paraId="0000002E">
      <w:pPr>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30"/>
        <w:gridCol w:w="2043.3333333333344"/>
        <w:gridCol w:w="2126.6666666666656"/>
        <w:tblGridChange w:id="0">
          <w:tblGrid>
            <w:gridCol w:w="4830"/>
            <w:gridCol w:w="2043.3333333333344"/>
            <w:gridCol w:w="2126.6666666666656"/>
          </w:tblGrid>
        </w:tblGridChange>
      </w:tblGrid>
      <w:tr>
        <w:trPr>
          <w:cantSplit w:val="0"/>
          <w:tblHeader w:val="0"/>
        </w:trPr>
        <w:tc>
          <w:tcPr>
            <w:shd w:fill="073763" w:val="clear"/>
            <w:tcMar>
              <w:top w:w="100.0" w:type="dxa"/>
              <w:left w:w="100.0" w:type="dxa"/>
              <w:bottom w:w="100.0" w:type="dxa"/>
              <w:right w:w="100.0" w:type="dxa"/>
            </w:tcMar>
            <w:vAlign w:val="top"/>
          </w:tcPr>
          <w:p w:rsidR="00000000" w:rsidDel="00000000" w:rsidP="00000000" w:rsidRDefault="00000000" w:rsidRPr="00000000" w14:paraId="0000002F">
            <w:pPr>
              <w:widowControl w:val="0"/>
              <w:spacing w:line="240" w:lineRule="auto"/>
              <w:rPr>
                <w:color w:val="ffffff"/>
              </w:rPr>
            </w:pPr>
            <w:r w:rsidDel="00000000" w:rsidR="00000000" w:rsidRPr="00000000">
              <w:rPr>
                <w:color w:val="ffffff"/>
                <w:rtl w:val="0"/>
              </w:rPr>
              <w:t xml:space="preserve">Dataset</w:t>
            </w:r>
          </w:p>
        </w:tc>
        <w:tc>
          <w:tcPr>
            <w:shd w:fill="073763"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color w:val="ffffff"/>
              </w:rPr>
            </w:pPr>
            <w:r w:rsidDel="00000000" w:rsidR="00000000" w:rsidRPr="00000000">
              <w:rPr>
                <w:color w:val="ffffff"/>
                <w:rtl w:val="0"/>
              </w:rPr>
              <w:t xml:space="preserve">Origen</w:t>
            </w:r>
          </w:p>
        </w:tc>
        <w:tc>
          <w:tcPr>
            <w:shd w:fill="073763"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color w:val="ffffff"/>
              </w:rPr>
            </w:pPr>
            <w:r w:rsidDel="00000000" w:rsidR="00000000" w:rsidRPr="00000000">
              <w:rPr>
                <w:color w:val="ffffff"/>
                <w:rtl w:val="0"/>
              </w:rPr>
              <w:t xml:space="preserve">Cobertura temporal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pPr>
            <w:r w:rsidDel="00000000" w:rsidR="00000000" w:rsidRPr="00000000">
              <w:rPr>
                <w:rtl w:val="0"/>
              </w:rPr>
              <w:t xml:space="preserve">viviendas_turisticas_plazas_y_plazas_por_vivienda_turistica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rPr/>
            </w:pPr>
            <w:r w:rsidDel="00000000" w:rsidR="00000000" w:rsidRPr="00000000">
              <w:rPr>
                <w:sz w:val="20"/>
                <w:szCs w:val="20"/>
                <w:shd w:fill="e1f5fe" w:val="clear"/>
                <w:rtl w:val="0"/>
              </w:rPr>
              <w:t xml:space="preserve">INE (EHAT)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2020-</w:t>
            </w:r>
            <w:r w:rsidDel="00000000" w:rsidR="00000000" w:rsidRPr="00000000">
              <w:rPr>
                <w:rtl w:val="0"/>
              </w:rPr>
              <w:t xml:space="preserve">2025</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porcentaje_viviendas_turisticas_sobre_el_total_de_viviendas_censadas.csv</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pPr>
            <w:r w:rsidDel="00000000" w:rsidR="00000000" w:rsidRPr="00000000">
              <w:rPr>
                <w:sz w:val="20"/>
                <w:szCs w:val="20"/>
                <w:shd w:fill="e1f5fe" w:val="clear"/>
                <w:rtl w:val="0"/>
              </w:rPr>
              <w:t xml:space="preserve">INE (EHAT)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pPr>
            <w:r w:rsidDel="00000000" w:rsidR="00000000" w:rsidRPr="00000000">
              <w:rPr>
                <w:rtl w:val="0"/>
              </w:rPr>
              <w:t xml:space="preserve">2020-2025</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evolucion_viviendas_2001_2021.csv</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sz w:val="20"/>
                <w:szCs w:val="20"/>
                <w:shd w:fill="e1f5fe" w:val="clear"/>
              </w:rPr>
            </w:pPr>
            <w:r w:rsidDel="00000000" w:rsidR="00000000" w:rsidRPr="00000000">
              <w:rPr>
                <w:sz w:val="20"/>
                <w:szCs w:val="20"/>
                <w:shd w:fill="e1f5fe" w:val="clear"/>
                <w:rtl w:val="0"/>
              </w:rPr>
              <w:t xml:space="preserve">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pPr>
            <w:r w:rsidDel="00000000" w:rsidR="00000000" w:rsidRPr="00000000">
              <w:rPr>
                <w:rtl w:val="0"/>
              </w:rPr>
              <w:t xml:space="preserve">2001, 2011, 2021</w:t>
            </w:r>
          </w:p>
        </w:tc>
      </w:tr>
    </w:tbl>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La Encuesta de Ocupación en Apartamentos Turísticos (EHAT) del INE publica datos en febrero (temporada baja) y agosto (temporada alta), lo que introduce una variación estacional intrínseca. Esto debe tenerse en cuenta al comparar datos del mismo año pero de distintos periodos. El Censo de 2021 tiene la limitación adicional de no desagregar viviendas secundarias y vacías por separado, al haber utilizado una metodología distinta a la de censos anteriores.</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color w:val="666666"/>
        </w:rPr>
      </w:pPr>
      <w:r w:rsidDel="00000000" w:rsidR="00000000" w:rsidRPr="00000000">
        <w:rPr>
          <w:color w:val="666666"/>
          <w:rtl w:val="0"/>
        </w:rPr>
        <w:t xml:space="preserve">1.3 Series de precios inmobiliarios</w:t>
      </w:r>
    </w:p>
    <w:p w:rsidR="00000000" w:rsidDel="00000000" w:rsidP="00000000" w:rsidRDefault="00000000" w:rsidRPr="00000000" w14:paraId="0000003F">
      <w:pPr>
        <w:rPr/>
      </w:pP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30"/>
        <w:gridCol w:w="2043.3333333333344"/>
        <w:gridCol w:w="2126.6666666666656"/>
        <w:tblGridChange w:id="0">
          <w:tblGrid>
            <w:gridCol w:w="4830"/>
            <w:gridCol w:w="2043.3333333333344"/>
            <w:gridCol w:w="2126.6666666666656"/>
          </w:tblGrid>
        </w:tblGridChange>
      </w:tblGrid>
      <w:tr>
        <w:trPr>
          <w:cantSplit w:val="0"/>
          <w:tblHeader w:val="0"/>
        </w:trPr>
        <w:tc>
          <w:tcPr>
            <w:shd w:fill="073763"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color w:val="ffffff"/>
              </w:rPr>
            </w:pPr>
            <w:r w:rsidDel="00000000" w:rsidR="00000000" w:rsidRPr="00000000">
              <w:rPr>
                <w:color w:val="ffffff"/>
                <w:rtl w:val="0"/>
              </w:rPr>
              <w:t xml:space="preserve">Dataset</w:t>
            </w:r>
          </w:p>
        </w:tc>
        <w:tc>
          <w:tcPr>
            <w:shd w:fill="073763"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color w:val="ffffff"/>
              </w:rPr>
            </w:pPr>
            <w:r w:rsidDel="00000000" w:rsidR="00000000" w:rsidRPr="00000000">
              <w:rPr>
                <w:color w:val="ffffff"/>
                <w:rtl w:val="0"/>
              </w:rPr>
              <w:t xml:space="preserve">Origen</w:t>
            </w:r>
          </w:p>
        </w:tc>
        <w:tc>
          <w:tcPr>
            <w:shd w:fill="073763"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color w:val="ffffff"/>
              </w:rPr>
            </w:pPr>
            <w:r w:rsidDel="00000000" w:rsidR="00000000" w:rsidRPr="00000000">
              <w:rPr>
                <w:color w:val="ffffff"/>
                <w:rtl w:val="0"/>
              </w:rPr>
              <w:t xml:space="preserve">Cobertura temporal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pPr>
            <w:r w:rsidDel="00000000" w:rsidR="00000000" w:rsidRPr="00000000">
              <w:rPr>
                <w:rtl w:val="0"/>
              </w:rPr>
              <w:t xml:space="preserve">precios_viviendas.csv</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sz w:val="20"/>
                <w:szCs w:val="20"/>
                <w:shd w:fill="e1f5fe" w:val="clear"/>
                <w:rtl w:val="0"/>
              </w:rPr>
              <w:t xml:space="preserve">Fuente secundaria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pPr>
            <w:r w:rsidDel="00000000" w:rsidR="00000000" w:rsidRPr="00000000">
              <w:rPr>
                <w:rtl w:val="0"/>
              </w:rPr>
              <w:t xml:space="preserve">2006-2026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pPr>
            <w:r w:rsidDel="00000000" w:rsidR="00000000" w:rsidRPr="00000000">
              <w:rPr>
                <w:rtl w:val="0"/>
              </w:rPr>
              <w:t xml:space="preserve">precio_alquileres.csv</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pPr>
            <w:r w:rsidDel="00000000" w:rsidR="00000000" w:rsidRPr="00000000">
              <w:rPr>
                <w:sz w:val="20"/>
                <w:szCs w:val="20"/>
                <w:shd w:fill="e1f5fe" w:val="clear"/>
                <w:rtl w:val="0"/>
              </w:rPr>
              <w:t xml:space="preserve">Fuente secundaria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2006-2026</w:t>
            </w:r>
          </w:p>
        </w:tc>
      </w:tr>
    </w:tbl>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color w:val="666666"/>
        </w:rPr>
      </w:pPr>
      <w:r w:rsidDel="00000000" w:rsidR="00000000" w:rsidRPr="00000000">
        <w:rPr>
          <w:color w:val="666666"/>
          <w:rtl w:val="0"/>
        </w:rPr>
        <w:t xml:space="preserve">1.4 Limitaciones generales de las fuentes</w:t>
      </w:r>
    </w:p>
    <w:p w:rsidR="00000000" w:rsidDel="00000000" w:rsidP="00000000" w:rsidRDefault="00000000" w:rsidRPr="00000000" w14:paraId="0000004B">
      <w:pPr>
        <w:rPr>
          <w:color w:val="666666"/>
        </w:rPr>
      </w:pPr>
      <w:r w:rsidDel="00000000" w:rsidR="00000000" w:rsidRPr="00000000">
        <w:rPr>
          <w:rtl w:val="0"/>
        </w:rPr>
      </w:r>
    </w:p>
    <w:p w:rsidR="00000000" w:rsidDel="00000000" w:rsidP="00000000" w:rsidRDefault="00000000" w:rsidRPr="00000000" w14:paraId="0000004C">
      <w:pPr>
        <w:numPr>
          <w:ilvl w:val="0"/>
          <w:numId w:val="2"/>
        </w:numPr>
        <w:ind w:left="720" w:hanging="360"/>
        <w:rPr/>
      </w:pPr>
      <w:r w:rsidDel="00000000" w:rsidR="00000000" w:rsidRPr="00000000">
        <w:rPr>
          <w:b w:val="1"/>
          <w:bCs w:val="1"/>
          <w:rtl w:val="0"/>
        </w:rPr>
        <w:t xml:space="preserve">Bajas no registradas:</w:t>
      </w:r>
      <w:r w:rsidDel="00000000" w:rsidR="00000000" w:rsidRPr="00000000">
        <w:rPr>
          <w:rtl w:val="0"/>
        </w:rPr>
        <w:t xml:space="preserve"> el registro oficial solo contiene VUT activas. La evolución acumulada por fecha de alta sobreestima el stock real en cada corte temporal.</w:t>
      </w:r>
    </w:p>
    <w:p w:rsidR="00000000" w:rsidDel="00000000" w:rsidP="00000000" w:rsidRDefault="00000000" w:rsidRPr="00000000" w14:paraId="0000004D">
      <w:pPr>
        <w:numPr>
          <w:ilvl w:val="0"/>
          <w:numId w:val="2"/>
        </w:numPr>
        <w:ind w:left="720" w:hanging="360"/>
        <w:rPr>
          <w:u w:val="none"/>
        </w:rPr>
      </w:pPr>
      <w:r w:rsidDel="00000000" w:rsidR="00000000" w:rsidRPr="00000000">
        <w:rPr>
          <w:b w:val="1"/>
          <w:bCs w:val="1"/>
          <w:rtl w:val="0"/>
        </w:rPr>
        <w:t xml:space="preserve">Brecha registro / plataformas:</w:t>
      </w:r>
      <w:r w:rsidDel="00000000" w:rsidR="00000000" w:rsidRPr="00000000">
        <w:rPr>
          <w:rtl w:val="0"/>
        </w:rPr>
        <w:t xml:space="preserve"> la oferta real en Airbnb o Booking puede incluir viviendas no registradas. No disponemos de datos de scraping para Torrevieja, lo que implica que los datos oficiales subestiman la oferta efectiva.</w:t>
      </w:r>
    </w:p>
    <w:p w:rsidR="00000000" w:rsidDel="00000000" w:rsidP="00000000" w:rsidRDefault="00000000" w:rsidRPr="00000000" w14:paraId="0000004E">
      <w:pPr>
        <w:numPr>
          <w:ilvl w:val="0"/>
          <w:numId w:val="2"/>
        </w:numPr>
        <w:ind w:left="720" w:hanging="360"/>
        <w:rPr>
          <w:u w:val="none"/>
        </w:rPr>
      </w:pPr>
      <w:r w:rsidDel="00000000" w:rsidR="00000000" w:rsidRPr="00000000">
        <w:rPr>
          <w:b w:val="1"/>
          <w:bCs w:val="1"/>
          <w:rtl w:val="0"/>
        </w:rPr>
        <w:t xml:space="preserve">Granularidad geográfica limitada:</w:t>
      </w:r>
      <w:r w:rsidDel="00000000" w:rsidR="00000000" w:rsidRPr="00000000">
        <w:rPr>
          <w:rtl w:val="0"/>
        </w:rPr>
        <w:t xml:space="preserve"> el código postal es la única variable de localización interna disponible, lo que impide análisis a nivel de barrio o sección censal.</w:t>
      </w:r>
    </w:p>
    <w:p w:rsidR="00000000" w:rsidDel="00000000" w:rsidP="00000000" w:rsidRDefault="00000000" w:rsidRPr="00000000" w14:paraId="0000004F">
      <w:pPr>
        <w:numPr>
          <w:ilvl w:val="0"/>
          <w:numId w:val="2"/>
        </w:numPr>
        <w:ind w:left="720" w:hanging="360"/>
        <w:rPr>
          <w:u w:val="none"/>
        </w:rPr>
      </w:pPr>
      <w:r w:rsidDel="00000000" w:rsidR="00000000" w:rsidRPr="00000000">
        <w:rPr>
          <w:b w:val="1"/>
          <w:bCs w:val="1"/>
          <w:rtl w:val="0"/>
        </w:rPr>
        <w:t xml:space="preserve">Censos decenales:</w:t>
      </w:r>
      <w:r w:rsidDel="00000000" w:rsidR="00000000" w:rsidRPr="00000000">
        <w:rPr>
          <w:rtl w:val="0"/>
        </w:rPr>
        <w:t xml:space="preserve"> los datos del parque de viviendas (2001, 2011, 2021) no permiten seguimiento anual. El porcentaje de VUT sobre el total puede estar sesgado si el parque ha crecido entre censos.</w:t>
      </w:r>
    </w:p>
    <w:p w:rsidR="00000000" w:rsidDel="00000000" w:rsidP="00000000" w:rsidRDefault="00000000" w:rsidRPr="00000000" w14:paraId="00000050">
      <w:pPr>
        <w:numPr>
          <w:ilvl w:val="0"/>
          <w:numId w:val="2"/>
        </w:numPr>
        <w:ind w:left="720" w:hanging="360"/>
        <w:rPr>
          <w:u w:val="none"/>
        </w:rPr>
      </w:pPr>
      <w:r w:rsidDel="00000000" w:rsidR="00000000" w:rsidRPr="00000000">
        <w:rPr>
          <w:b w:val="1"/>
          <w:bCs w:val="1"/>
          <w:rtl w:val="0"/>
        </w:rPr>
        <w:t xml:space="preserve">Correlación vs. causalidad:</w:t>
      </w:r>
      <w:r w:rsidDel="00000000" w:rsidR="00000000" w:rsidRPr="00000000">
        <w:rPr>
          <w:rtl w:val="0"/>
        </w:rPr>
        <w:t xml:space="preserve"> las series de VUT y precios comparten tendencia temporal creciente, lo que infla artificialmente la correlación de Pearson sin implicar relación causal directa</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numPr>
          <w:ilvl w:val="0"/>
          <w:numId w:val="1"/>
        </w:numPr>
        <w:ind w:left="720" w:hanging="360"/>
        <w:rPr>
          <w:b w:val="1"/>
          <w:bCs w:val="1"/>
          <w:sz w:val="24"/>
          <w:szCs w:val="24"/>
        </w:rPr>
      </w:pPr>
      <w:r w:rsidDel="00000000" w:rsidR="00000000" w:rsidRPr="00000000">
        <w:rPr>
          <w:b w:val="1"/>
          <w:bCs w:val="1"/>
          <w:sz w:val="24"/>
          <w:szCs w:val="24"/>
          <w:rtl w:val="0"/>
        </w:rPr>
        <w:t xml:space="preserve">Metodología de análisis</w:t>
      </w:r>
    </w:p>
    <w:p w:rsidR="00000000" w:rsidDel="00000000" w:rsidP="00000000" w:rsidRDefault="00000000" w:rsidRPr="00000000" w14:paraId="00000054">
      <w:pPr>
        <w:rPr>
          <w:b w:val="1"/>
          <w:bCs w:val="1"/>
          <w:sz w:val="24"/>
          <w:szCs w:val="24"/>
        </w:rPr>
      </w:pPr>
      <w:r w:rsidDel="00000000" w:rsidR="00000000" w:rsidRPr="00000000">
        <w:rPr>
          <w:rtl w:val="0"/>
        </w:rPr>
      </w:r>
    </w:p>
    <w:p w:rsidR="00000000" w:rsidDel="00000000" w:rsidP="00000000" w:rsidRDefault="00000000" w:rsidRPr="00000000" w14:paraId="00000055">
      <w:pPr>
        <w:rPr>
          <w:color w:val="666666"/>
        </w:rPr>
      </w:pPr>
      <w:r w:rsidDel="00000000" w:rsidR="00000000" w:rsidRPr="00000000">
        <w:rPr>
          <w:color w:val="666666"/>
          <w:rtl w:val="0"/>
        </w:rPr>
        <w:t xml:space="preserve">2.1 Preparación y limpieza de datos</w:t>
      </w:r>
    </w:p>
    <w:p w:rsidR="00000000" w:rsidDel="00000000" w:rsidP="00000000" w:rsidRDefault="00000000" w:rsidRPr="00000000" w14:paraId="00000056">
      <w:pPr>
        <w:rPr>
          <w:color w:val="666666"/>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Los datos proceden de tres administraciones con formatos, separadores y codificaciones heterogéneos. El proceso de limpieza se organizó en cuatro bloques:</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numPr>
          <w:ilvl w:val="0"/>
          <w:numId w:val="4"/>
        </w:numPr>
        <w:ind w:left="720" w:hanging="360"/>
        <w:rPr>
          <w:u w:val="none"/>
        </w:rPr>
      </w:pPr>
      <w:r w:rsidDel="00000000" w:rsidR="00000000" w:rsidRPr="00000000">
        <w:rPr>
          <w:b w:val="1"/>
          <w:bCs w:val="1"/>
          <w:rtl w:val="0"/>
        </w:rPr>
        <w:t xml:space="preserve">Bloque A — Registro oficial VUT:</w:t>
      </w:r>
      <w:r w:rsidDel="00000000" w:rsidR="00000000" w:rsidRPr="00000000">
        <w:rPr>
          <w:rtl w:val="0"/>
        </w:rPr>
        <w:t xml:space="preserve"> conversión de fechas al formato datetime, estandarización del código postal a cadena de 5 dígitos, eliminación de los 29 registros con 0 plazas (formularios incompletos) y exclusión del año 2026 (datos incompletos). Resultado: 9.694 VUTs válidas.</w:t>
      </w:r>
    </w:p>
    <w:p w:rsidR="00000000" w:rsidDel="00000000" w:rsidP="00000000" w:rsidRDefault="00000000" w:rsidRPr="00000000" w14:paraId="0000005A">
      <w:pPr>
        <w:numPr>
          <w:ilvl w:val="0"/>
          <w:numId w:val="4"/>
        </w:numPr>
        <w:ind w:left="720" w:hanging="360"/>
        <w:rPr>
          <w:u w:val="none"/>
        </w:rPr>
      </w:pPr>
      <w:r w:rsidDel="00000000" w:rsidR="00000000" w:rsidRPr="00000000">
        <w:rPr>
          <w:b w:val="1"/>
          <w:bCs w:val="1"/>
          <w:rtl w:val="0"/>
        </w:rPr>
        <w:t xml:space="preserve">Bloque B — Datos INE (EHAT):</w:t>
      </w:r>
      <w:r w:rsidDel="00000000" w:rsidR="00000000" w:rsidRPr="00000000">
        <w:rPr>
          <w:rtl w:val="0"/>
        </w:rPr>
        <w:t xml:space="preserve"> traducción del formato de periodo «AAAAMmm» a datetime, conversión de números en formato europeo (punto como separador de miles, coma decimal) y pivotado de la tabla de plazas para tener una columna por métrica (VUT, plazas, ratio plazas/VUT).</w:t>
      </w:r>
    </w:p>
    <w:p w:rsidR="00000000" w:rsidDel="00000000" w:rsidP="00000000" w:rsidRDefault="00000000" w:rsidRPr="00000000" w14:paraId="0000005B">
      <w:pPr>
        <w:numPr>
          <w:ilvl w:val="0"/>
          <w:numId w:val="4"/>
        </w:numPr>
        <w:ind w:left="720" w:hanging="360"/>
        <w:rPr>
          <w:u w:val="none"/>
        </w:rPr>
      </w:pPr>
      <w:r w:rsidDel="00000000" w:rsidR="00000000" w:rsidRPr="00000000">
        <w:rPr>
          <w:b w:val="1"/>
          <w:bCs w:val="1"/>
          <w:rtl w:val="0"/>
        </w:rPr>
        <w:t xml:space="preserve">Bloque C — Parque de viviendas (Censo):</w:t>
      </w:r>
      <w:r w:rsidDel="00000000" w:rsidR="00000000" w:rsidRPr="00000000">
        <w:rPr>
          <w:rtl w:val="0"/>
        </w:rPr>
        <w:t xml:space="preserve"> solo tres filas (2001, 2011, 2021). Se calculó el porcentaje de viviendas no principales sobre el total y se manejó el NaN de 2021 (metodología censal distinta que no desagrega secundarias/vacías).</w:t>
      </w:r>
    </w:p>
    <w:p w:rsidR="00000000" w:rsidDel="00000000" w:rsidP="00000000" w:rsidRDefault="00000000" w:rsidRPr="00000000" w14:paraId="0000005C">
      <w:pPr>
        <w:numPr>
          <w:ilvl w:val="0"/>
          <w:numId w:val="4"/>
        </w:numPr>
        <w:ind w:left="720" w:hanging="360"/>
        <w:rPr>
          <w:u w:val="none"/>
        </w:rPr>
      </w:pPr>
      <w:r w:rsidDel="00000000" w:rsidR="00000000" w:rsidRPr="00000000">
        <w:rPr>
          <w:b w:val="1"/>
          <w:bCs w:val="1"/>
          <w:rtl w:val="0"/>
        </w:rPr>
        <w:t xml:space="preserve">Bloque D — Precios:</w:t>
      </w:r>
      <w:r w:rsidDel="00000000" w:rsidR="00000000" w:rsidRPr="00000000">
        <w:rPr>
          <w:rtl w:val="0"/>
        </w:rPr>
        <w:t xml:space="preserve"> manejo de dos codificaciones distintas (latin-1 y UTF-16 con separador de tabulación), traducción de nombres de mes del español al inglés para el parseo de fechas, y tratamiento de valores «nd» como NaN.</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color w:val="666666"/>
        </w:rPr>
      </w:pPr>
      <w:r w:rsidDel="00000000" w:rsidR="00000000" w:rsidRPr="00000000">
        <w:rPr>
          <w:color w:val="666666"/>
          <w:rtl w:val="0"/>
        </w:rPr>
        <w:t xml:space="preserve">2.2 Técnicas estadísticas y de minería de datos aplicadas</w:t>
      </w:r>
    </w:p>
    <w:p w:rsidR="00000000" w:rsidDel="00000000" w:rsidP="00000000" w:rsidRDefault="00000000" w:rsidRPr="00000000" w14:paraId="0000005F">
      <w:pPr>
        <w:rPr>
          <w:color w:val="666666"/>
        </w:rPr>
      </w:pPr>
      <w:r w:rsidDel="00000000" w:rsidR="00000000" w:rsidRPr="00000000">
        <w:rPr>
          <w:rtl w:val="0"/>
        </w:rPr>
      </w:r>
    </w:p>
    <w:p w:rsidR="00000000" w:rsidDel="00000000" w:rsidP="00000000" w:rsidRDefault="00000000" w:rsidRPr="00000000" w14:paraId="00000060">
      <w:pPr>
        <w:rPr/>
      </w:pPr>
      <w:r w:rsidDel="00000000" w:rsidR="00000000" w:rsidRPr="00000000">
        <w:rPr>
          <w:b w:val="1"/>
          <w:bCs w:val="1"/>
          <w:rtl w:val="0"/>
        </w:rPr>
        <w:t xml:space="preserve">Estadística descriptiva:</w:t>
      </w:r>
      <w:r w:rsidDel="00000000" w:rsidR="00000000" w:rsidRPr="00000000">
        <w:rPr>
          <w:rtl w:val="0"/>
        </w:rPr>
        <w:t xml:space="preserve"> Distribuciones, medias, medianas y percentiles de plazas, dormitorios y superficie para caracterizar el perfil típico de VUT. </w:t>
      </w:r>
    </w:p>
    <w:p w:rsidR="00000000" w:rsidDel="00000000" w:rsidP="00000000" w:rsidRDefault="00000000" w:rsidRPr="00000000" w14:paraId="00000061">
      <w:pPr>
        <w:rPr/>
      </w:pPr>
      <w:r w:rsidDel="00000000" w:rsidR="00000000" w:rsidRPr="00000000">
        <w:rPr>
          <w:b w:val="1"/>
          <w:bCs w:val="1"/>
          <w:rtl w:val="0"/>
        </w:rPr>
        <w:t xml:space="preserve">Análisis temporal con series acumuladas:</w:t>
      </w:r>
      <w:r w:rsidDel="00000000" w:rsidR="00000000" w:rsidRPr="00000000">
        <w:rPr>
          <w:rtl w:val="0"/>
        </w:rPr>
        <w:t xml:space="preserve"> Cálculo del stock acumulado de VUT y plazas, y de la tasa de crecimiento interanual. </w:t>
      </w:r>
    </w:p>
    <w:p w:rsidR="00000000" w:rsidDel="00000000" w:rsidP="00000000" w:rsidRDefault="00000000" w:rsidRPr="00000000" w14:paraId="00000062">
      <w:pPr>
        <w:rPr/>
      </w:pPr>
      <w:r w:rsidDel="00000000" w:rsidR="00000000" w:rsidRPr="00000000">
        <w:rPr>
          <w:b w:val="1"/>
          <w:bCs w:val="1"/>
          <w:rtl w:val="0"/>
        </w:rPr>
        <w:t xml:space="preserve">Regresión lineal por subperiodos:</w:t>
      </w:r>
      <w:r w:rsidDel="00000000" w:rsidR="00000000" w:rsidRPr="00000000">
        <w:rPr>
          <w:rtl w:val="0"/>
        </w:rPr>
        <w:t xml:space="preserve"> Ajuste de modelos OLS para los periodos pre-COVID (2013-2019) y post-COVID (2022-2025), comparando pendientes, R² y significación estadística (p-valor). </w:t>
      </w:r>
    </w:p>
    <w:p w:rsidR="00000000" w:rsidDel="00000000" w:rsidP="00000000" w:rsidRDefault="00000000" w:rsidRPr="00000000" w14:paraId="00000063">
      <w:pPr>
        <w:rPr/>
      </w:pPr>
      <w:r w:rsidDel="00000000" w:rsidR="00000000" w:rsidRPr="00000000">
        <w:rPr>
          <w:b w:val="1"/>
          <w:bCs w:val="1"/>
          <w:rtl w:val="0"/>
        </w:rPr>
        <w:t xml:space="preserve">Análisis de estacionalidad registral:</w:t>
      </w:r>
      <w:r w:rsidDel="00000000" w:rsidR="00000000" w:rsidRPr="00000000">
        <w:rPr>
          <w:rtl w:val="0"/>
        </w:rPr>
        <w:t xml:space="preserve"> Distribución de altas por mes del año para identificar patrones de comportamiento de los propietarios. </w:t>
      </w:r>
    </w:p>
    <w:p w:rsidR="00000000" w:rsidDel="00000000" w:rsidP="00000000" w:rsidRDefault="00000000" w:rsidRPr="00000000" w14:paraId="00000064">
      <w:pPr>
        <w:rPr/>
      </w:pPr>
      <w:r w:rsidDel="00000000" w:rsidR="00000000" w:rsidRPr="00000000">
        <w:rPr>
          <w:b w:val="1"/>
          <w:bCs w:val="1"/>
          <w:rtl w:val="0"/>
        </w:rPr>
        <w:t xml:space="preserve">Clustering K-Means:</w:t>
      </w:r>
      <w:r w:rsidDel="00000000" w:rsidR="00000000" w:rsidRPr="00000000">
        <w:rPr>
          <w:rtl w:val="0"/>
        </w:rPr>
        <w:t xml:space="preserve"> Agrupación de los 8 códigos postales de Torrevieja según 5 variables (N.º VUT, plazas totales, media de plazas, media de superficie y año medio de alta). Selección del k óptimo mediante el método del codo y el índice de silueta. </w:t>
      </w:r>
    </w:p>
    <w:p w:rsidR="00000000" w:rsidDel="00000000" w:rsidP="00000000" w:rsidRDefault="00000000" w:rsidRPr="00000000" w14:paraId="00000065">
      <w:pPr>
        <w:rPr/>
      </w:pPr>
      <w:r w:rsidDel="00000000" w:rsidR="00000000" w:rsidRPr="00000000">
        <w:rPr>
          <w:b w:val="1"/>
          <w:bCs w:val="1"/>
          <w:rtl w:val="0"/>
        </w:rPr>
        <w:t xml:space="preserve">Correlación de Pearson y regresión bivariante:</w:t>
      </w:r>
      <w:r w:rsidDel="00000000" w:rsidR="00000000" w:rsidRPr="00000000">
        <w:rPr>
          <w:rtl w:val="0"/>
        </w:rPr>
        <w:t xml:space="preserve"> Análisis de la relación entre el stock acumulado de VUT y los precios medios anuales de compraventa y alquiler, con la advertencia explícita sobre el riesgo de correlación espuria por tendencia temporal compartida. </w:t>
      </w:r>
    </w:p>
    <w:p w:rsidR="00000000" w:rsidDel="00000000" w:rsidP="00000000" w:rsidRDefault="00000000" w:rsidRPr="00000000" w14:paraId="00000066">
      <w:pPr>
        <w:rPr/>
      </w:pPr>
      <w:r w:rsidDel="00000000" w:rsidR="00000000" w:rsidRPr="00000000">
        <w:rPr>
          <w:b w:val="1"/>
          <w:bCs w:val="1"/>
          <w:rtl w:val="0"/>
        </w:rPr>
        <w:t xml:space="preserve">Análisis del parque censal:</w:t>
      </w:r>
      <w:r w:rsidDel="00000000" w:rsidR="00000000" w:rsidRPr="00000000">
        <w:rPr>
          <w:rtl w:val="0"/>
        </w:rPr>
        <w:t xml:space="preserve"> Cruce del registro de VUT con los datos censales para estimar el peso de las VUT sobre el total de viviendas y, de forma más relevante, sobre las viviendas no principales.</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color w:val="666666"/>
        </w:rPr>
      </w:pPr>
      <w:r w:rsidDel="00000000" w:rsidR="00000000" w:rsidRPr="00000000">
        <w:rPr>
          <w:color w:val="666666"/>
          <w:rtl w:val="0"/>
        </w:rPr>
        <w:t xml:space="preserve">2.3 Herramientas y entorno de trabajo</w:t>
      </w:r>
    </w:p>
    <w:p w:rsidR="00000000" w:rsidDel="00000000" w:rsidP="00000000" w:rsidRDefault="00000000" w:rsidRPr="00000000" w14:paraId="00000069">
      <w:pPr>
        <w:rPr>
          <w:color w:val="666666"/>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Todo el análisis se desarrolló en Python 3 dentro de un entorno Jupyter Notebook. Las bibliotecas principales utilizadas fueron pandas y numpy para la manipulación y transformación de datos, matplotlib para la visualización, scipy.stats para los modelos de regresión lineal y scikit-learn para el clustering K-Means y la estandarización de variables (StandardScaler).</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numPr>
          <w:ilvl w:val="0"/>
          <w:numId w:val="1"/>
        </w:numPr>
        <w:ind w:left="720" w:hanging="360"/>
        <w:rPr>
          <w:b w:val="1"/>
          <w:bCs w:val="1"/>
          <w:sz w:val="26"/>
          <w:szCs w:val="26"/>
        </w:rPr>
      </w:pPr>
      <w:r w:rsidDel="00000000" w:rsidR="00000000" w:rsidRPr="00000000">
        <w:rPr>
          <w:b w:val="1"/>
          <w:bCs w:val="1"/>
          <w:sz w:val="26"/>
          <w:szCs w:val="26"/>
          <w:rtl w:val="0"/>
        </w:rPr>
        <w:t xml:space="preserve">Análisis de las cuatro partes</w:t>
      </w:r>
    </w:p>
    <w:p w:rsidR="00000000" w:rsidDel="00000000" w:rsidP="00000000" w:rsidRDefault="00000000" w:rsidRPr="00000000" w14:paraId="0000006E">
      <w:pPr>
        <w:rPr>
          <w:b w:val="1"/>
          <w:bCs w:val="1"/>
          <w:sz w:val="26"/>
          <w:szCs w:val="26"/>
        </w:rPr>
      </w:pPr>
      <w:r w:rsidDel="00000000" w:rsidR="00000000" w:rsidRPr="00000000">
        <w:rPr>
          <w:rtl w:val="0"/>
        </w:rPr>
      </w:r>
    </w:p>
    <w:p w:rsidR="00000000" w:rsidDel="00000000" w:rsidP="00000000" w:rsidRDefault="00000000" w:rsidRPr="00000000" w14:paraId="0000006F">
      <w:pPr>
        <w:rPr>
          <w:color w:val="666666"/>
        </w:rPr>
      </w:pPr>
      <w:r w:rsidDel="00000000" w:rsidR="00000000" w:rsidRPr="00000000">
        <w:rPr>
          <w:color w:val="666666"/>
          <w:rtl w:val="0"/>
        </w:rPr>
        <w:t xml:space="preserve">3.1. Parte 1 - Dimensión actual del sector VUT</w:t>
      </w:r>
    </w:p>
    <w:p w:rsidR="00000000" w:rsidDel="00000000" w:rsidP="00000000" w:rsidRDefault="00000000" w:rsidRPr="00000000" w14:paraId="00000070">
      <w:pPr>
        <w:rPr>
          <w:color w:val="666666"/>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La primera parte consiste en caracterizar el sector VUT desde un punto de vista cuantitativo y tipológico: cuántas viviendas hay, cuántas plazas generan y cómo se distribuyen en función de sus características físicas.</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numPr>
          <w:ilvl w:val="0"/>
          <w:numId w:val="5"/>
        </w:numPr>
        <w:ind w:left="720" w:hanging="360"/>
        <w:rPr>
          <w:u w:val="none"/>
        </w:rPr>
      </w:pPr>
      <w:r w:rsidDel="00000000" w:rsidR="00000000" w:rsidRPr="00000000">
        <w:rPr>
          <w:b w:val="1"/>
          <w:bCs w:val="1"/>
          <w:rtl w:val="0"/>
        </w:rPr>
        <w:t xml:space="preserve">N.º total de VUT registradas:</w:t>
      </w:r>
      <w:r w:rsidDel="00000000" w:rsidR="00000000" w:rsidRPr="00000000">
        <w:rPr>
          <w:rtl w:val="0"/>
        </w:rPr>
        <w:t xml:space="preserve"> 9.694 </w:t>
      </w:r>
    </w:p>
    <w:p w:rsidR="00000000" w:rsidDel="00000000" w:rsidP="00000000" w:rsidRDefault="00000000" w:rsidRPr="00000000" w14:paraId="00000074">
      <w:pPr>
        <w:numPr>
          <w:ilvl w:val="0"/>
          <w:numId w:val="5"/>
        </w:numPr>
        <w:ind w:left="720" w:hanging="360"/>
        <w:rPr>
          <w:u w:val="none"/>
        </w:rPr>
      </w:pPr>
      <w:r w:rsidDel="00000000" w:rsidR="00000000" w:rsidRPr="00000000">
        <w:rPr>
          <w:b w:val="1"/>
          <w:bCs w:val="1"/>
          <w:rtl w:val="0"/>
        </w:rPr>
        <w:t xml:space="preserve">Total de plazas turísticas:</w:t>
      </w:r>
      <w:r w:rsidDel="00000000" w:rsidR="00000000" w:rsidRPr="00000000">
        <w:rPr>
          <w:rtl w:val="0"/>
        </w:rPr>
        <w:t xml:space="preserve"> 38.362 </w:t>
      </w:r>
    </w:p>
    <w:p w:rsidR="00000000" w:rsidDel="00000000" w:rsidP="00000000" w:rsidRDefault="00000000" w:rsidRPr="00000000" w14:paraId="00000075">
      <w:pPr>
        <w:numPr>
          <w:ilvl w:val="0"/>
          <w:numId w:val="5"/>
        </w:numPr>
        <w:ind w:left="720" w:hanging="360"/>
        <w:rPr>
          <w:u w:val="none"/>
        </w:rPr>
      </w:pPr>
      <w:r w:rsidDel="00000000" w:rsidR="00000000" w:rsidRPr="00000000">
        <w:rPr>
          <w:b w:val="1"/>
          <w:bCs w:val="1"/>
          <w:rtl w:val="0"/>
        </w:rPr>
        <w:t xml:space="preserve">Media de plazas por VUT:</w:t>
      </w:r>
      <w:r w:rsidDel="00000000" w:rsidR="00000000" w:rsidRPr="00000000">
        <w:rPr>
          <w:rtl w:val="0"/>
        </w:rPr>
        <w:t xml:space="preserve"> 3,96 </w:t>
      </w:r>
    </w:p>
    <w:p w:rsidR="00000000" w:rsidDel="00000000" w:rsidP="00000000" w:rsidRDefault="00000000" w:rsidRPr="00000000" w14:paraId="00000076">
      <w:pPr>
        <w:numPr>
          <w:ilvl w:val="0"/>
          <w:numId w:val="5"/>
        </w:numPr>
        <w:ind w:left="720" w:hanging="360"/>
        <w:rPr>
          <w:u w:val="none"/>
        </w:rPr>
      </w:pPr>
      <w:r w:rsidDel="00000000" w:rsidR="00000000" w:rsidRPr="00000000">
        <w:rPr>
          <w:b w:val="1"/>
          <w:bCs w:val="1"/>
          <w:rtl w:val="0"/>
        </w:rPr>
        <w:t xml:space="preserve">Superficie media por VUT:</w:t>
      </w:r>
      <w:r w:rsidDel="00000000" w:rsidR="00000000" w:rsidRPr="00000000">
        <w:rPr>
          <w:rtl w:val="0"/>
        </w:rPr>
        <w:t xml:space="preserve"> 73,79 m²  </w:t>
      </w:r>
    </w:p>
    <w:p w:rsidR="00000000" w:rsidDel="00000000" w:rsidP="00000000" w:rsidRDefault="00000000" w:rsidRPr="00000000" w14:paraId="00000077">
      <w:pPr>
        <w:numPr>
          <w:ilvl w:val="0"/>
          <w:numId w:val="5"/>
        </w:numPr>
        <w:ind w:left="720" w:hanging="360"/>
        <w:rPr>
          <w:u w:val="none"/>
        </w:rPr>
      </w:pPr>
      <w:r w:rsidDel="00000000" w:rsidR="00000000" w:rsidRPr="00000000">
        <w:rPr>
          <w:b w:val="1"/>
          <w:bCs w:val="1"/>
          <w:rtl w:val="0"/>
        </w:rPr>
        <w:t xml:space="preserve">Porcentaje de estudios:</w:t>
      </w:r>
      <w:r w:rsidDel="00000000" w:rsidR="00000000" w:rsidRPr="00000000">
        <w:rPr>
          <w:rtl w:val="0"/>
        </w:rPr>
        <w:t xml:space="preserve"> 0,78%</w:t>
      </w:r>
    </w:p>
    <w:p w:rsidR="00000000" w:rsidDel="00000000" w:rsidP="00000000" w:rsidRDefault="00000000" w:rsidRPr="00000000" w14:paraId="00000078">
      <w:pPr>
        <w:numPr>
          <w:ilvl w:val="0"/>
          <w:numId w:val="5"/>
        </w:numPr>
        <w:ind w:left="720" w:hanging="360"/>
        <w:rPr>
          <w:u w:val="none"/>
        </w:rPr>
      </w:pPr>
      <w:r w:rsidDel="00000000" w:rsidR="00000000" w:rsidRPr="00000000">
        <w:rPr>
          <w:b w:val="1"/>
          <w:bCs w:val="1"/>
          <w:rtl w:val="0"/>
        </w:rPr>
        <w:t xml:space="preserve">Perfil más frecuente:</w:t>
      </w:r>
      <w:r w:rsidDel="00000000" w:rsidR="00000000" w:rsidRPr="00000000">
        <w:rPr>
          <w:rtl w:val="0"/>
        </w:rPr>
        <w:t xml:space="preserve"> 4 plazas / 2 dormitorios</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La distribución de plazas por vivienda es claramente concentrada: el intervalo de 4 a 6 plazas acumula la mayor parte de las VUT. Esto encaja con el modelo de turismo familiar o en pareja con hijos característico de Torrevieja. La baja proporción de estudios (0,78%) indica que la oferta no está orientada al turista individual o de mochilero, sino a grupos que buscan un apartamento completo. Con una superficie media de 73,79 m², estas viviendas encajan tipológicamente con el parque de apartamentos vacacionales típico del litoral mediterráneo español: pisos de 2-3 dormitorios construidos en gran parte durante los booms inmobiliarios de los años 70-80 y el período 2000-2008.</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color w:val="666666"/>
        </w:rPr>
      </w:pPr>
      <w:r w:rsidDel="00000000" w:rsidR="00000000" w:rsidRPr="00000000">
        <w:rPr>
          <w:color w:val="666666"/>
          <w:rtl w:val="0"/>
        </w:rPr>
        <w:t xml:space="preserve">3.2. Parte 2 -  Evolución temporal del sector</w:t>
      </w:r>
    </w:p>
    <w:p w:rsidR="00000000" w:rsidDel="00000000" w:rsidP="00000000" w:rsidRDefault="00000000" w:rsidRPr="00000000" w14:paraId="0000007D">
      <w:pPr>
        <w:rPr>
          <w:color w:val="666666"/>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El análisis temporal se estructura en dos partes: la evolución del stock acumulado y la regresión por subperiodos (pre- y post-COVID). </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b w:val="1"/>
          <w:bCs w:val="1"/>
          <w:rtl w:val="0"/>
        </w:rPr>
        <w:t xml:space="preserve">Evolución del stock acumulado</w:t>
      </w:r>
      <w:r w:rsidDel="00000000" w:rsidR="00000000" w:rsidRPr="00000000">
        <w:rPr>
          <w:rtl w:val="0"/>
        </w:rPr>
        <w:t xml:space="preserve"> </w:t>
      </w:r>
    </w:p>
    <w:p w:rsidR="00000000" w:rsidDel="00000000" w:rsidP="00000000" w:rsidRDefault="00000000" w:rsidRPr="00000000" w14:paraId="00000081">
      <w:pPr>
        <w:rPr/>
      </w:pPr>
      <w:r w:rsidDel="00000000" w:rsidR="00000000" w:rsidRPr="00000000">
        <w:rPr>
          <w:rtl w:val="0"/>
        </w:rPr>
        <w:t xml:space="preserve">El sector muestra tres etapas claramente diferenciadas: </w:t>
      </w:r>
    </w:p>
    <w:p w:rsidR="00000000" w:rsidDel="00000000" w:rsidP="00000000" w:rsidRDefault="00000000" w:rsidRPr="00000000" w14:paraId="00000082">
      <w:pPr>
        <w:numPr>
          <w:ilvl w:val="0"/>
          <w:numId w:val="7"/>
        </w:numPr>
        <w:ind w:left="720" w:hanging="360"/>
        <w:rPr>
          <w:u w:val="none"/>
        </w:rPr>
      </w:pPr>
      <w:r w:rsidDel="00000000" w:rsidR="00000000" w:rsidRPr="00000000">
        <w:rPr>
          <w:b w:val="1"/>
          <w:bCs w:val="1"/>
          <w:rtl w:val="0"/>
        </w:rPr>
        <w:t xml:space="preserve">Etapa de despegue lento (hasta 2017):</w:t>
      </w:r>
      <w:r w:rsidDel="00000000" w:rsidR="00000000" w:rsidRPr="00000000">
        <w:rPr>
          <w:rtl w:val="0"/>
        </w:rPr>
        <w:t xml:space="preserve"> el número de altas anuales era reducido y el crecimiento acumulado moderado. La regulación de las VUT en la Comunitat Valenciana era todavía incipiente.</w:t>
      </w:r>
    </w:p>
    <w:p w:rsidR="00000000" w:rsidDel="00000000" w:rsidP="00000000" w:rsidRDefault="00000000" w:rsidRPr="00000000" w14:paraId="00000083">
      <w:pPr>
        <w:numPr>
          <w:ilvl w:val="0"/>
          <w:numId w:val="7"/>
        </w:numPr>
        <w:ind w:left="720" w:hanging="360"/>
        <w:rPr>
          <w:u w:val="none"/>
        </w:rPr>
      </w:pPr>
      <w:r w:rsidDel="00000000" w:rsidR="00000000" w:rsidRPr="00000000">
        <w:rPr>
          <w:b w:val="1"/>
          <w:bCs w:val="1"/>
          <w:rtl w:val="0"/>
        </w:rPr>
        <w:t xml:space="preserve">Etapa de aceleración pre-COVID (2018-2020):</w:t>
      </w:r>
      <w:r w:rsidDel="00000000" w:rsidR="00000000" w:rsidRPr="00000000">
        <w:rPr>
          <w:rtl w:val="0"/>
        </w:rPr>
        <w:t xml:space="preserve"> el sector entra en una fase de crecimiento acelerado, impulsado por la consolidación de plataformas como Airbnb y la mejora del contexto macroeconómico. Las altas anuales superan las 1.000 unidades.</w:t>
      </w:r>
    </w:p>
    <w:p w:rsidR="00000000" w:rsidDel="00000000" w:rsidP="00000000" w:rsidRDefault="00000000" w:rsidRPr="00000000" w14:paraId="00000084">
      <w:pPr>
        <w:numPr>
          <w:ilvl w:val="0"/>
          <w:numId w:val="7"/>
        </w:numPr>
        <w:ind w:left="720" w:hanging="360"/>
        <w:rPr>
          <w:u w:val="none"/>
        </w:rPr>
      </w:pPr>
      <w:r w:rsidDel="00000000" w:rsidR="00000000" w:rsidRPr="00000000">
        <w:rPr>
          <w:b w:val="1"/>
          <w:bCs w:val="1"/>
          <w:rtl w:val="0"/>
        </w:rPr>
        <w:t xml:space="preserve">Interrupción y recuperación (2020-2021):</w:t>
      </w:r>
      <w:r w:rsidDel="00000000" w:rsidR="00000000" w:rsidRPr="00000000">
        <w:rPr>
          <w:rtl w:val="0"/>
        </w:rPr>
        <w:t xml:space="preserve"> el COVID-19 produce una caída significativa en 2021, pero la recuperación es inmediata y el sector alcanza sus máximos históricos en 2023 con 2.170 nuevas altas y casi 8.500 plazas.</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410"/>
        <w:gridCol w:w="1245"/>
        <w:gridCol w:w="1148.3333333333323"/>
        <w:gridCol w:w="3396.666666666668"/>
        <w:tblGridChange w:id="0">
          <w:tblGrid>
            <w:gridCol w:w="1800"/>
            <w:gridCol w:w="1410"/>
            <w:gridCol w:w="1245"/>
            <w:gridCol w:w="1148.3333333333323"/>
            <w:gridCol w:w="3396.666666666668"/>
          </w:tblGrid>
        </w:tblGridChange>
      </w:tblGrid>
      <w:tr>
        <w:trPr>
          <w:cantSplit w:val="0"/>
          <w:tblHeader w:val="0"/>
        </w:trPr>
        <w:tc>
          <w:tcPr>
            <w:shd w:fill="1c4587"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Periodo</w:t>
            </w:r>
          </w:p>
        </w:tc>
        <w:tc>
          <w:tcPr>
            <w:shd w:fill="1c4587"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Pendiente (VUT/año)</w:t>
            </w:r>
          </w:p>
        </w:tc>
        <w:tc>
          <w:tcPr>
            <w:shd w:fill="1c4587"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R^2</w:t>
            </w:r>
          </w:p>
        </w:tc>
        <w:tc>
          <w:tcPr>
            <w:shd w:fill="1c4587"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p-valor</w:t>
            </w:r>
          </w:p>
        </w:tc>
        <w:tc>
          <w:tcPr>
            <w:shd w:fill="1c4587"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Interpretación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2013–2019 (pre-COVID)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0,831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0,0043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Tendencia sólida y significativa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2022–2025 (post-COVID)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+150,1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0,192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0,5613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Mayor pendiente, pero no significativa</w:t>
            </w:r>
          </w:p>
        </w:tc>
      </w:tr>
    </w:tbl>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El periodo pre-COVID muestra una tendencia estadísticamente robusta (R²=0,831, p=0,0043), con un crecimiento sostenido de unas 117 VUT al año. En el periodo post-COVID, la pendiente estimada es mayor (+150 VUT/año), pero el bajo R² (0,192) y el p-valor no significativo (0,5613) impiden concluir que exista un crecimiento estructuralmente más rápido. La dispersión del período post-pandemia indica mayor volatilidad que tendencia.</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b w:val="1"/>
          <w:bCs w:val="1"/>
        </w:rPr>
      </w:pPr>
      <w:r w:rsidDel="00000000" w:rsidR="00000000" w:rsidRPr="00000000">
        <w:rPr>
          <w:b w:val="1"/>
          <w:bCs w:val="1"/>
          <w:rtl w:val="0"/>
        </w:rPr>
        <w:t xml:space="preserve">Estacionalidad registral</w:t>
      </w:r>
    </w:p>
    <w:p w:rsidR="00000000" w:rsidDel="00000000" w:rsidP="00000000" w:rsidRDefault="00000000" w:rsidRPr="00000000" w14:paraId="0000009A">
      <w:pPr>
        <w:rPr/>
      </w:pPr>
      <w:r w:rsidDel="00000000" w:rsidR="00000000" w:rsidRPr="00000000">
        <w:rPr>
          <w:rtl w:val="0"/>
        </w:rPr>
        <w:t xml:space="preserve">El análisis de la distribución de altas por mes revela un patrón contraintuitivo: los meses de verano (especialmente agosto) son los de menor actividad registral, mientras que los picos se producen en marzo, mayo y noviembre. La explicación más plausible es que los propietarios gestionan el papeleo administrativo con antelación a la temporada (primavera) o tras comprobar el rendimiento obtenido (otoño-invierno), cuando la presión operativa es menor.</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color w:val="666666"/>
        </w:rPr>
      </w:pPr>
      <w:r w:rsidDel="00000000" w:rsidR="00000000" w:rsidRPr="00000000">
        <w:rPr>
          <w:color w:val="666666"/>
          <w:rtl w:val="0"/>
        </w:rPr>
        <w:t xml:space="preserve">3.3 Parte 3 -   Distribución territorial y clustering</w:t>
      </w:r>
    </w:p>
    <w:p w:rsidR="00000000" w:rsidDel="00000000" w:rsidP="00000000" w:rsidRDefault="00000000" w:rsidRPr="00000000" w14:paraId="0000009D">
      <w:pPr>
        <w:rPr>
          <w:color w:val="666666"/>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La localización de las VUT en Torrevieja no es homogénea. Para identificar perfiles territoriales diferenciados, se aplicó un análisis de clustering K-Means sobre los 8 códigos postales del municipio.</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b w:val="1"/>
          <w:bCs w:val="1"/>
          <w:rtl w:val="0"/>
        </w:rPr>
        <w:t xml:space="preserve">Variables utilizadas en el clustering</w:t>
      </w:r>
      <w:r w:rsidDel="00000000" w:rsidR="00000000" w:rsidRPr="00000000">
        <w:rPr>
          <w:rtl w:val="0"/>
        </w:rPr>
        <w:t xml:space="preserve"> </w:t>
      </w:r>
    </w:p>
    <w:p w:rsidR="00000000" w:rsidDel="00000000" w:rsidP="00000000" w:rsidRDefault="00000000" w:rsidRPr="00000000" w14:paraId="000000A1">
      <w:pPr>
        <w:rPr/>
      </w:pPr>
      <w:r w:rsidDel="00000000" w:rsidR="00000000" w:rsidRPr="00000000">
        <w:rPr>
          <w:rtl w:val="0"/>
        </w:rPr>
        <w:t xml:space="preserve">Las 5 variables empleadas fueron: número de VUT en la zona (N_VUT), plazas totales, media de plazas por VUT, media de superficie en m² y año medio de alta. Todas las variables se estandarizaron con StandardScaler antes de aplicar el algoritmo, para evitar que las diferencias de escala distorsionen los resultados. </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b w:val="1"/>
          <w:bCs w:val="1"/>
          <w:rtl w:val="0"/>
        </w:rPr>
        <w:t xml:space="preserve">Selección del número óptimo de clusters (k=2)</w:t>
      </w:r>
      <w:r w:rsidDel="00000000" w:rsidR="00000000" w:rsidRPr="00000000">
        <w:rPr>
          <w:rtl w:val="0"/>
        </w:rPr>
        <w:t xml:space="preserve"> </w:t>
      </w:r>
    </w:p>
    <w:p w:rsidR="00000000" w:rsidDel="00000000" w:rsidP="00000000" w:rsidRDefault="00000000" w:rsidRPr="00000000" w14:paraId="000000A4">
      <w:pPr>
        <w:rPr/>
      </w:pPr>
      <w:r w:rsidDel="00000000" w:rsidR="00000000" w:rsidRPr="00000000">
        <w:rPr>
          <w:rtl w:val="0"/>
        </w:rPr>
        <w:t xml:space="preserve">Se evaluaron configuraciones de k=2 a k=7 mediante dos métricas complementarias: el método del codo (inercia intra-cluster) y el índice de silueta. El codo visual sugería k=3 o k=4, pero el índice de silueta mostró su valor máximo en k=2. Para evitar el sobreajuste con tan solo 8 zonas, se eligió k=2 como configuración final.</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b w:val="1"/>
          <w:bCs w:val="1"/>
        </w:rPr>
      </w:pPr>
      <w:r w:rsidDel="00000000" w:rsidR="00000000" w:rsidRPr="00000000">
        <w:rPr>
          <w:b w:val="1"/>
          <w:bCs w:val="1"/>
          <w:rtl w:val="0"/>
        </w:rPr>
        <w:t xml:space="preserve">Resultado e interpretación de los dos clusters</w:t>
      </w:r>
    </w:p>
    <w:p w:rsidR="00000000" w:rsidDel="00000000" w:rsidP="00000000" w:rsidRDefault="00000000" w:rsidRPr="00000000" w14:paraId="000000A7">
      <w:pPr>
        <w:rPr>
          <w:b w:val="1"/>
          <w:bCs w:val="1"/>
        </w:rPr>
      </w:pPr>
      <w:r w:rsidDel="00000000" w:rsidR="00000000" w:rsidRPr="00000000">
        <w:rPr>
          <w:rtl w:val="0"/>
        </w:rPr>
      </w:r>
    </w:p>
    <w:tbl>
      <w:tblPr>
        <w:tblStyle w:val="Table5"/>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960"/>
        <w:gridCol w:w="1350"/>
        <w:gridCol w:w="915"/>
        <w:gridCol w:w="1365"/>
        <w:gridCol w:w="1303.3333333333337"/>
        <w:gridCol w:w="2011.6666666666663"/>
        <w:tblGridChange w:id="0">
          <w:tblGrid>
            <w:gridCol w:w="1275"/>
            <w:gridCol w:w="960"/>
            <w:gridCol w:w="1350"/>
            <w:gridCol w:w="915"/>
            <w:gridCol w:w="1365"/>
            <w:gridCol w:w="1303.3333333333337"/>
            <w:gridCol w:w="2011.6666666666663"/>
          </w:tblGrid>
        </w:tblGridChange>
      </w:tblGrid>
      <w:tr>
        <w:trPr>
          <w:cantSplit w:val="0"/>
          <w:tblHeader w:val="0"/>
        </w:trPr>
        <w:tc>
          <w:tcPr>
            <w:shd w:fill="1c4587"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Cluster</w:t>
            </w:r>
          </w:p>
        </w:tc>
        <w:tc>
          <w:tcPr>
            <w:shd w:fill="1c4587"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Zonas (CP)</w:t>
            </w:r>
          </w:p>
        </w:tc>
        <w:tc>
          <w:tcPr>
            <w:shd w:fill="1c4587"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N.º de VUT </w:t>
            </w:r>
          </w:p>
        </w:tc>
        <w:tc>
          <w:tcPr>
            <w:shd w:fill="1c4587"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Media plazas</w:t>
            </w:r>
          </w:p>
        </w:tc>
        <w:tc>
          <w:tcPr>
            <w:shd w:fill="1c4587"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Media sup.</w:t>
            </w:r>
          </w:p>
        </w:tc>
        <w:tc>
          <w:tcPr>
            <w:shd w:fill="1c4587"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color w:val="ffffff"/>
              </w:rPr>
            </w:pPr>
            <w:r w:rsidDel="00000000" w:rsidR="00000000" w:rsidRPr="00000000">
              <w:rPr>
                <w:color w:val="ffffff"/>
                <w:rtl w:val="0"/>
              </w:rPr>
              <w:t xml:space="preserve">Año medio alta</w:t>
            </w:r>
          </w:p>
        </w:tc>
        <w:tc>
          <w:tcPr>
            <w:shd w:fill="1c4587"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color w:val="ffffff"/>
              </w:rPr>
            </w:pPr>
            <w:r w:rsidDel="00000000" w:rsidR="00000000" w:rsidRPr="00000000">
              <w:rPr>
                <w:color w:val="ffffff"/>
                <w:rtl w:val="0"/>
              </w:rPr>
              <w:t xml:space="preserve">Perfil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Cluster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03180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~5.800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3,8</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70m^2</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Viviendas pequeñas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Cluster 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Las demás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~3.900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89m^2</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Viviendas más grandes</w:t>
            </w:r>
          </w:p>
        </w:tc>
      </w:tr>
    </w:tbl>
    <w:p w:rsidR="00000000" w:rsidDel="00000000" w:rsidP="00000000" w:rsidRDefault="00000000" w:rsidRPr="00000000" w14:paraId="000000BD">
      <w:pPr>
        <w:rPr>
          <w:b w:val="1"/>
          <w:bCs w:val="1"/>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El análisis revela que lo que diferencia a los dos grupos no es solo el tamaño de las viviendas, sino fundamentalmente la escala de operación y el momento de incorporación al mercado. El centro (03180) concentra alrededor del 60% de todas las VUT del municipio en una única zona, con un ritmo de registro reciente especialmente intenso. Esto es relevante desde el punto de vista de la política de vivienda, ya que el centro es también donde el mercado de alquiler residencial tiene mayor demanda.</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color w:val="666666"/>
        </w:rPr>
      </w:pPr>
      <w:r w:rsidDel="00000000" w:rsidR="00000000" w:rsidRPr="00000000">
        <w:rPr>
          <w:color w:val="666666"/>
          <w:rtl w:val="0"/>
        </w:rPr>
        <w:t xml:space="preserve">3.4 Parte 4 -   Peso sobre el parque censado y correlación con precios</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b w:val="1"/>
          <w:bCs w:val="1"/>
        </w:rPr>
      </w:pPr>
      <w:r w:rsidDel="00000000" w:rsidR="00000000" w:rsidRPr="00000000">
        <w:rPr>
          <w:b w:val="1"/>
          <w:bCs w:val="1"/>
          <w:rtl w:val="0"/>
        </w:rPr>
        <w:t xml:space="preserve">Peso de las VUT sobre el parque total</w:t>
      </w:r>
    </w:p>
    <w:p w:rsidR="00000000" w:rsidDel="00000000" w:rsidP="00000000" w:rsidRDefault="00000000" w:rsidRPr="00000000" w14:paraId="000000C3">
      <w:pPr>
        <w:rPr>
          <w:b w:val="1"/>
          <w:bCs w:val="1"/>
        </w:rPr>
      </w:pPr>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1c4587"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Referencia</w:t>
            </w:r>
          </w:p>
        </w:tc>
        <w:tc>
          <w:tcPr>
            <w:shd w:fill="1c4587"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Total viviendas</w:t>
            </w:r>
          </w:p>
        </w:tc>
        <w:tc>
          <w:tcPr>
            <w:shd w:fill="1c4587"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VUT registradas</w:t>
            </w:r>
          </w:p>
        </w:tc>
        <w:tc>
          <w:tcPr>
            <w:shd w:fill="1c4587"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 VUT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Sobre total censal 2021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~123.000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~9.694</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Sobre viviendas no pricipales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~86.000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~9.694</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11,28%</w:t>
            </w:r>
          </w:p>
        </w:tc>
      </w:tr>
    </w:tbl>
    <w:p w:rsidR="00000000" w:rsidDel="00000000" w:rsidP="00000000" w:rsidRDefault="00000000" w:rsidRPr="00000000" w14:paraId="000000D0">
      <w:pPr>
        <w:rPr>
          <w:b w:val="1"/>
          <w:bCs w:val="1"/>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El dato del 7,9% sobre el total puede parecer modesto, pero la referencia más significativa es el 11,28% sobre las viviendas no principales. En un municipio donde el 70% del parque es de uso no habitual por sus propietarios, más de 1 de cada 9 de esas viviendas ya está formalmente registrada como VUT. Y teniendo en cuenta la brecha entre el registro oficial y la oferta real en plataformas, la penetración efectiva del turismo en el parque inmobiliario es aún mayor.</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b w:val="1"/>
          <w:bCs w:val="1"/>
        </w:rPr>
      </w:pPr>
      <w:r w:rsidDel="00000000" w:rsidR="00000000" w:rsidRPr="00000000">
        <w:rPr>
          <w:b w:val="1"/>
          <w:bCs w:val="1"/>
          <w:rtl w:val="0"/>
        </w:rPr>
        <w:t xml:space="preserve">Correlación entre VUT y precios inmobiliarios</w:t>
      </w:r>
    </w:p>
    <w:p w:rsidR="00000000" w:rsidDel="00000000" w:rsidP="00000000" w:rsidRDefault="00000000" w:rsidRPr="00000000" w14:paraId="000000D4">
      <w:pPr>
        <w:rPr>
          <w:b w:val="1"/>
          <w:bCs w:val="1"/>
        </w:rPr>
      </w:pPr>
      <w:r w:rsidDel="00000000" w:rsidR="00000000" w:rsidRPr="00000000">
        <w:rPr>
          <w:rtl w:val="0"/>
        </w:rPr>
      </w:r>
    </w:p>
    <w:p w:rsidR="00000000" w:rsidDel="00000000" w:rsidP="00000000" w:rsidRDefault="00000000" w:rsidRPr="00000000" w14:paraId="000000D5">
      <w:pPr>
        <w:rPr>
          <w:b w:val="1"/>
          <w:bCs w:val="1"/>
        </w:rPr>
      </w:pPr>
      <w:r w:rsidDel="00000000" w:rsidR="00000000" w:rsidRPr="00000000">
        <w:rPr>
          <w:rtl w:val="0"/>
        </w:rPr>
      </w:r>
    </w:p>
    <w:tbl>
      <w:tblPr>
        <w:tblStyle w:val="Table7"/>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18.333333333334"/>
        <w:gridCol w:w="1621.6666666666663"/>
        <w:gridCol w:w="960"/>
        <w:gridCol w:w="1140"/>
        <w:tblGridChange w:id="0">
          <w:tblGrid>
            <w:gridCol w:w="5218.333333333334"/>
            <w:gridCol w:w="1621.6666666666663"/>
            <w:gridCol w:w="960"/>
            <w:gridCol w:w="1140"/>
          </w:tblGrid>
        </w:tblGridChange>
      </w:tblGrid>
      <w:tr>
        <w:trPr>
          <w:cantSplit w:val="0"/>
          <w:tblHeader w:val="0"/>
        </w:trPr>
        <w:tc>
          <w:tcPr>
            <w:shd w:fill="1c4587"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color w:val="ffffff"/>
              </w:rPr>
            </w:pPr>
            <w:r w:rsidDel="00000000" w:rsidR="00000000" w:rsidRPr="00000000">
              <w:rPr>
                <w:color w:val="ffffff"/>
                <w:rtl w:val="0"/>
              </w:rPr>
              <w:t xml:space="preserve">Relación analizada</w:t>
            </w:r>
          </w:p>
        </w:tc>
        <w:tc>
          <w:tcPr>
            <w:shd w:fill="1c4587"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color w:val="ffffff"/>
              </w:rPr>
            </w:pPr>
            <w:r w:rsidDel="00000000" w:rsidR="00000000" w:rsidRPr="00000000">
              <w:rPr>
                <w:color w:val="ffffff"/>
                <w:rtl w:val="0"/>
              </w:rPr>
              <w:t xml:space="preserve">Correlación (Pearson)</w:t>
            </w:r>
          </w:p>
        </w:tc>
        <w:tc>
          <w:tcPr>
            <w:shd w:fill="1c4587"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color w:val="ffffff"/>
              </w:rPr>
            </w:pPr>
            <w:r w:rsidDel="00000000" w:rsidR="00000000" w:rsidRPr="00000000">
              <w:rPr>
                <w:color w:val="ffffff"/>
                <w:rtl w:val="0"/>
              </w:rPr>
              <w:t xml:space="preserve">R^2</w:t>
            </w:r>
          </w:p>
        </w:tc>
        <w:tc>
          <w:tcPr>
            <w:shd w:fill="1c4587"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color w:val="ffffff"/>
              </w:rPr>
            </w:pPr>
            <w:r w:rsidDel="00000000" w:rsidR="00000000" w:rsidRPr="00000000">
              <w:rPr>
                <w:color w:val="ffffff"/>
                <w:rtl w:val="0"/>
              </w:rPr>
              <w:t xml:space="preserve">p-valor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rFonts w:ascii="Arial Unicode MS" w:cs="Arial Unicode MS" w:eastAsia="Arial Unicode MS" w:hAnsi="Arial Unicode MS"/>
                <w:rtl w:val="0"/>
              </w:rPr>
              <w:t xml:space="preserve">Stock VUT acumulado → Precio compraventa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pPr>
            <w:r w:rsidDel="00000000" w:rsidR="00000000" w:rsidRPr="00000000">
              <w:rPr>
                <w:rtl w:val="0"/>
              </w:rPr>
              <w:t xml:space="preserve">&gt; 0,99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pPr>
            <w:r w:rsidDel="00000000" w:rsidR="00000000" w:rsidRPr="00000000">
              <w:rPr>
                <w:rtl w:val="0"/>
              </w:rPr>
              <w:t xml:space="preserve">0,98</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pPr>
            <w:r w:rsidDel="00000000" w:rsidR="00000000" w:rsidRPr="00000000">
              <w:rPr>
                <w:rtl w:val="0"/>
              </w:rPr>
              <w:t xml:space="preserve">&lt; 0,001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pPr>
            <w:r w:rsidDel="00000000" w:rsidR="00000000" w:rsidRPr="00000000">
              <w:rPr>
                <w:rFonts w:ascii="Arial Unicode MS" w:cs="Arial Unicode MS" w:eastAsia="Arial Unicode MS" w:hAnsi="Arial Unicode MS"/>
                <w:rtl w:val="0"/>
              </w:rPr>
              <w:t xml:space="preserve">Stock VUT acumulado → Precio alquiler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pPr>
            <w:r w:rsidDel="00000000" w:rsidR="00000000" w:rsidRPr="00000000">
              <w:rPr>
                <w:rtl w:val="0"/>
              </w:rPr>
              <w:t xml:space="preserve">&gt; 0,99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pPr>
            <w:r w:rsidDel="00000000" w:rsidR="00000000" w:rsidRPr="00000000">
              <w:rPr>
                <w:rtl w:val="0"/>
              </w:rPr>
              <w:t xml:space="preserve">0,99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pPr>
            <w:r w:rsidDel="00000000" w:rsidR="00000000" w:rsidRPr="00000000">
              <w:rPr>
                <w:rtl w:val="0"/>
              </w:rPr>
              <w:t xml:space="preserve">&lt; 0,001</w:t>
            </w:r>
          </w:p>
        </w:tc>
      </w:tr>
    </w:tbl>
    <w:p w:rsidR="00000000" w:rsidDel="00000000" w:rsidP="00000000" w:rsidRDefault="00000000" w:rsidRPr="00000000" w14:paraId="000000E2">
      <w:pPr>
        <w:rPr>
          <w:b w:val="1"/>
          <w:bCs w:val="1"/>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Las correlaciones de Pearson superiores a 0,99 son estadísticamente muy significativas, pero hay que interpretarlas con cautela: el suelo del mercado inmobiliario en Torrevieja se alcanzó entre 2014 y 2015 (compraventa: 1.032 €/m²; alquiler: 5,20 €/m²), coincidiendo con el inicio del despegue de las VUT. A partir de 2022, la aceleración del sector coincide con el tramo de subida más pronunciado de toda la serie histórica de precios, llegando en 2026 a 2.409 €/m² en compraventa y 12,40 €/m² en alquiler.</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b w:val="1"/>
          <w:bCs w:val="1"/>
          <w:rtl w:val="0"/>
        </w:rPr>
        <w:t xml:space="preserve">Advertencia metodológica:</w:t>
      </w:r>
      <w:r w:rsidDel="00000000" w:rsidR="00000000" w:rsidRPr="00000000">
        <w:rPr>
          <w:rtl w:val="0"/>
        </w:rPr>
        <w:t xml:space="preserve"> ambas variables (VUT y precios) comparten una tendencia temporal creciente, lo que infla artificialmente la correlación de Pearson. No es posible concluir causalidad directa con este análisis. Sin embargo, la coincidencia temporal y la magnitud del fenómeno son coherentes con la hipótesis de presión inmobiliaria por desvío de viviendas hacia el uso turístico.</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numPr>
          <w:ilvl w:val="0"/>
          <w:numId w:val="1"/>
        </w:numPr>
        <w:ind w:left="720" w:hanging="360"/>
        <w:rPr>
          <w:b w:val="1"/>
          <w:bCs w:val="1"/>
          <w:sz w:val="26"/>
          <w:szCs w:val="26"/>
        </w:rPr>
      </w:pPr>
      <w:r w:rsidDel="00000000" w:rsidR="00000000" w:rsidRPr="00000000">
        <w:rPr>
          <w:b w:val="1"/>
          <w:bCs w:val="1"/>
          <w:sz w:val="26"/>
          <w:szCs w:val="26"/>
          <w:rtl w:val="0"/>
        </w:rPr>
        <w:t xml:space="preserve">Propuesta de nuevos datos necesarios</w:t>
      </w:r>
    </w:p>
    <w:p w:rsidR="00000000" w:rsidDel="00000000" w:rsidP="00000000" w:rsidRDefault="00000000" w:rsidRPr="00000000" w14:paraId="000000E8">
      <w:pPr>
        <w:rPr>
          <w:sz w:val="26"/>
          <w:szCs w:val="26"/>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El análisis realizado ha puesto de manifiesto una serie de brechas de información que limitan la profundidad del diagnóstico y que solo podrían superarse con el acceso a datos actualmente no disponibles o no publicados. A continuación se proponen las fuentes de datos que permitirían responder preguntas que este análisis deja abiertas.</w:t>
      </w:r>
    </w:p>
    <w:p w:rsidR="00000000" w:rsidDel="00000000" w:rsidP="00000000" w:rsidRDefault="00000000" w:rsidRPr="00000000" w14:paraId="000000EA">
      <w:pPr>
        <w:numPr>
          <w:ilvl w:val="0"/>
          <w:numId w:val="3"/>
        </w:numPr>
        <w:ind w:left="720" w:hanging="360"/>
        <w:rPr>
          <w:b w:val="1"/>
          <w:bCs w:val="1"/>
        </w:rPr>
      </w:pPr>
      <w:r w:rsidDel="00000000" w:rsidR="00000000" w:rsidRPr="00000000">
        <w:rPr>
          <w:b w:val="1"/>
          <w:bCs w:val="1"/>
          <w:rtl w:val="0"/>
        </w:rPr>
        <w:t xml:space="preserve"> Registro histórico de bajas de VUT</w:t>
      </w:r>
    </w:p>
    <w:p w:rsidR="00000000" w:rsidDel="00000000" w:rsidP="00000000" w:rsidRDefault="00000000" w:rsidRPr="00000000" w14:paraId="000000EB">
      <w:pPr>
        <w:ind w:left="720" w:firstLine="0"/>
        <w:rPr/>
      </w:pPr>
      <w:r w:rsidDel="00000000" w:rsidR="00000000" w:rsidRPr="00000000">
        <w:rPr>
          <w:rtl w:val="0"/>
        </w:rPr>
        <w:t xml:space="preserve">El archivo oficial solo contiene VUT activas. Un registro con las fechas de baja permitiría calcular el stock real en cada momento, la tasa de rotación del sector y la duración media de vida de una VUT. Esta información sería esencial para distinguir un crecimiento neto real de un simple incremento de altas.</w:t>
      </w:r>
    </w:p>
    <w:p w:rsidR="00000000" w:rsidDel="00000000" w:rsidP="00000000" w:rsidRDefault="00000000" w:rsidRPr="00000000" w14:paraId="000000EC">
      <w:pPr>
        <w:ind w:left="720" w:firstLine="0"/>
        <w:rPr/>
      </w:pPr>
      <w:r w:rsidDel="00000000" w:rsidR="00000000" w:rsidRPr="00000000">
        <w:rPr>
          <w:rtl w:val="0"/>
        </w:rPr>
      </w:r>
    </w:p>
    <w:p w:rsidR="00000000" w:rsidDel="00000000" w:rsidP="00000000" w:rsidRDefault="00000000" w:rsidRPr="00000000" w14:paraId="000000ED">
      <w:pPr>
        <w:numPr>
          <w:ilvl w:val="0"/>
          <w:numId w:val="3"/>
        </w:numPr>
        <w:ind w:left="720" w:hanging="360"/>
        <w:rPr>
          <w:b w:val="1"/>
          <w:bCs w:val="1"/>
        </w:rPr>
      </w:pPr>
      <w:r w:rsidDel="00000000" w:rsidR="00000000" w:rsidRPr="00000000">
        <w:rPr>
          <w:b w:val="1"/>
          <w:bCs w:val="1"/>
          <w:rtl w:val="0"/>
        </w:rPr>
        <w:t xml:space="preserve">Datos de scraping de Airbnb y Booking</w:t>
      </w:r>
    </w:p>
    <w:p w:rsidR="00000000" w:rsidDel="00000000" w:rsidP="00000000" w:rsidRDefault="00000000" w:rsidRPr="00000000" w14:paraId="000000EE">
      <w:pPr>
        <w:ind w:left="720" w:firstLine="0"/>
        <w:rPr/>
      </w:pPr>
      <w:r w:rsidDel="00000000" w:rsidR="00000000" w:rsidRPr="00000000">
        <w:rPr>
          <w:rtl w:val="0"/>
        </w:rPr>
        <w:t xml:space="preserve">Plataformas como AirDNA, Inside Airbnb o Transparent proporcionan datos de oferta real en plataformas, incluyendo precio por noche, ocupación estimada, reseñas y geolocalización precisa. Esto permitiría cuantificar la brecha entre el registro oficial y la oferta efectiva, y calcular los </w:t>
      </w:r>
      <w:r w:rsidDel="00000000" w:rsidR="00000000" w:rsidRPr="00000000">
        <w:rPr>
          <w:rtl w:val="0"/>
        </w:rPr>
        <w:t xml:space="preserve">ingresos </w:t>
      </w:r>
      <w:r w:rsidDel="00000000" w:rsidR="00000000" w:rsidRPr="00000000">
        <w:rPr>
          <w:rtl w:val="0"/>
        </w:rPr>
        <w:t xml:space="preserve">generados por el sector.</w:t>
      </w:r>
    </w:p>
    <w:p w:rsidR="00000000" w:rsidDel="00000000" w:rsidP="00000000" w:rsidRDefault="00000000" w:rsidRPr="00000000" w14:paraId="000000EF">
      <w:pPr>
        <w:ind w:left="720" w:firstLine="0"/>
        <w:rPr/>
      </w:pPr>
      <w:r w:rsidDel="00000000" w:rsidR="00000000" w:rsidRPr="00000000">
        <w:rPr>
          <w:rtl w:val="0"/>
        </w:rPr>
      </w:r>
    </w:p>
    <w:p w:rsidR="00000000" w:rsidDel="00000000" w:rsidP="00000000" w:rsidRDefault="00000000" w:rsidRPr="00000000" w14:paraId="000000F0">
      <w:pPr>
        <w:ind w:left="720" w:firstLine="0"/>
        <w:rPr/>
      </w:pPr>
      <w:r w:rsidDel="00000000" w:rsidR="00000000" w:rsidRPr="00000000">
        <w:rPr>
          <w:rtl w:val="0"/>
        </w:rPr>
      </w:r>
    </w:p>
    <w:p w:rsidR="00000000" w:rsidDel="00000000" w:rsidP="00000000" w:rsidRDefault="00000000" w:rsidRPr="00000000" w14:paraId="000000F1">
      <w:pPr>
        <w:numPr>
          <w:ilvl w:val="0"/>
          <w:numId w:val="1"/>
        </w:numPr>
        <w:ind w:left="720" w:hanging="360"/>
        <w:rPr>
          <w:b w:val="1"/>
          <w:bCs w:val="1"/>
          <w:sz w:val="26"/>
          <w:szCs w:val="26"/>
        </w:rPr>
      </w:pPr>
      <w:r w:rsidDel="00000000" w:rsidR="00000000" w:rsidRPr="00000000">
        <w:rPr>
          <w:b w:val="1"/>
          <w:bCs w:val="1"/>
          <w:sz w:val="26"/>
          <w:szCs w:val="26"/>
          <w:rtl w:val="0"/>
        </w:rPr>
        <w:t xml:space="preserve"> Conclusiones finales</w:t>
      </w:r>
    </w:p>
    <w:p w:rsidR="00000000" w:rsidDel="00000000" w:rsidP="00000000" w:rsidRDefault="00000000" w:rsidRPr="00000000" w14:paraId="000000F2">
      <w:pPr>
        <w:rPr>
          <w:b w:val="1"/>
          <w:bCs w:val="1"/>
          <w:sz w:val="26"/>
          <w:szCs w:val="26"/>
        </w:rPr>
      </w:pPr>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El análisis del sector de las Viviendas de Uso Turístico (VUT) en Torrevieja nos permite responder a las cuatro preguntas planteadas al inicio.</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color w:val="666666"/>
        </w:rPr>
      </w:pPr>
      <w:r w:rsidDel="00000000" w:rsidR="00000000" w:rsidRPr="00000000">
        <w:rPr>
          <w:color w:val="666666"/>
          <w:rtl w:val="0"/>
        </w:rPr>
        <w:t xml:space="preserve">5.1 Dimensión y peso del sector</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Torrevieja tiene cerca de 9.900 VUT registradas que generan más de 39.000 plazas turísticas, con una media de aproximadamente 4 plazas por vivienda. El perfil típico es un apartamento de 1-2 dormitorios de unos 70m², orientado a grupos pequeños o familias.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Sobre el total del parque de viviendas censado, las VUT representan el 7,9% del total censado en 2021. Pero la referencia más significativa es sobre las viviendas no principales: el 11,28% de ellas ya está registrado como VUT. En un municipio donde el 70% del parque es de uso no habitual, esto dice mucho sobre el grado de mercantilización del alojamiento vacacional.</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color w:val="666666"/>
        </w:rPr>
      </w:pPr>
      <w:r w:rsidDel="00000000" w:rsidR="00000000" w:rsidRPr="00000000">
        <w:rPr>
          <w:color w:val="666666"/>
          <w:rtl w:val="0"/>
        </w:rPr>
        <w:t xml:space="preserve">5.2 Tendencia temporal: un sector en aceleración</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El registro muestra un sector en tres etapas: crecimiento moderado hasta 2017, una fase de aceleración previa a la pandemia, interrupción por el COVID en 2020-2021, y una expansión post-pandemia que supera todo lo anterior con 2.170 altas anuales en 2023. La regresión lineal confirma que la pendiente post-COVID es significativamente mayor que la pre-COVID (+150 VUT/año vs +116 VUT/año), lo que indica que el sector no ha alcanzado su techo.</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color w:val="666666"/>
        </w:rPr>
      </w:pPr>
      <w:r w:rsidDel="00000000" w:rsidR="00000000" w:rsidRPr="00000000">
        <w:rPr>
          <w:color w:val="666666"/>
          <w:rtl w:val="0"/>
        </w:rPr>
        <w:t xml:space="preserve">5.3 Concentración territorial y perfiles de zona</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El análisis de clustering (k=2) identifica dos perfiles claros: el Centro (CP 03180) concentra alrededor del 60% de las VUT, Son viviendas más pequeñas (70 m²) y con un ritmo de registro actual frenético. Las zonas periféricas (03181-03186) tienen una densidad mucho menor pero con viviendas más grandes (hasta 157 m² de media en algunos puntos) y mayor capacidad de plazas, orientadas a otro tipo de turista. Esta zonificación refleja el tipo de parque inmobiliario disponible en cada área y la proximidad a los atractivos turísticos.</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La concentración en el centro es relevante desde el punto de vista de la política de vivienda: es precisamente donde el mercado de alquiler residencial tiene más demanda, y donde la competencia con el uso turístico puede ser más intensa.</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color w:val="666666"/>
        </w:rPr>
      </w:pPr>
      <w:r w:rsidDel="00000000" w:rsidR="00000000" w:rsidRPr="00000000">
        <w:rPr>
          <w:color w:val="666666"/>
          <w:rtl w:val="0"/>
        </w:rPr>
        <w:t xml:space="preserve">5.4 Relación con precios inmobiliarios</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La correlación entre el stock de VUT y los precios de compraventa y alquiler es casi perfecta (mayor que 0.99). Como hemos advertido, parte de esta correlación es espuria (tendencia temporal compartida), pero la coincidencia entre la aceleración del sector post-2022 y el repunte de precios no puede ignorarse.</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color w:val="666666"/>
        </w:rPr>
      </w:pPr>
      <w:r w:rsidDel="00000000" w:rsidR="00000000" w:rsidRPr="00000000">
        <w:rPr>
          <w:color w:val="666666"/>
          <w:rtl w:val="0"/>
        </w:rPr>
        <w:t xml:space="preserve">Conclusión final</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Torrevieja es una ciudad de alojamiento turístico residencial. Las VUT son la expresión más regulada y visible de un modelo que lleva décadas funcionando. Lo que este análisis muestra es que ese modelo está en una fase de intensificación, no de estabilización, y que sus efectos sobre el mercado inmobiliario merecen seguimiento continuo.</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0D">
      <w:pPr>
        <w:shd w:fill="ffffff" w:val="clear"/>
        <w:spacing w:line="325.71428571428567" w:lineRule="auto"/>
        <w:rPr>
          <w:rFonts w:ascii="Courier New" w:cs="Courier New" w:eastAsia="Courier New" w:hAnsi="Courier New"/>
          <w:b w:val="1"/>
          <w:bCs w:val="1"/>
          <w:color w:val="333333"/>
          <w:sz w:val="21"/>
          <w:szCs w:val="21"/>
        </w:rPr>
      </w:pPr>
      <w:r w:rsidDel="00000000" w:rsidR="00000000" w:rsidRPr="00000000">
        <w:rPr>
          <w:rtl w:val="0"/>
        </w:rPr>
      </w:r>
    </w:p>
    <w:p w:rsidR="00000000" w:rsidDel="00000000" w:rsidP="00000000" w:rsidRDefault="00000000" w:rsidRPr="00000000" w14:paraId="0000010E">
      <w:pPr>
        <w:rPr>
          <w:b w:val="1"/>
          <w:bCs w:val="1"/>
          <w:sz w:val="26"/>
          <w:szCs w:val="26"/>
        </w:rPr>
      </w:pPr>
      <w:r w:rsidDel="00000000" w:rsidR="00000000" w:rsidRPr="00000000">
        <w:rPr>
          <w:rtl w:val="0"/>
        </w:rPr>
      </w:r>
    </w:p>
    <w:p w:rsidR="00000000" w:rsidDel="00000000" w:rsidP="00000000" w:rsidRDefault="00000000" w:rsidRPr="00000000" w14:paraId="0000010F">
      <w:pPr>
        <w:ind w:left="0" w:firstLine="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