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9012BE9">
      <w:pPr>
        <w:rPr>
          <w:lang w:val="fr-FR"/>
        </w:rPr>
      </w:pPr>
      <w:r>
        <w:rPr>
          <w:lang w:val="fr-FR"/>
        </w:rPr>
        <w:t>Devoir d’audit</w:t>
      </w:r>
    </w:p>
    <w:p w14:paraId="66814476">
      <w:pPr>
        <w:rPr>
          <w:lang w:val="fr-FR"/>
        </w:rPr>
      </w:pPr>
    </w:p>
    <w:p w14:paraId="24BF03CA">
      <w:pPr>
        <w:widowControl/>
        <w:spacing w:line="360" w:lineRule="atLeast"/>
        <w:ind w:left="0" w:firstLine="0"/>
        <w:jc w:val="left"/>
        <w:rPr>
          <w:rFonts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</w:rPr>
      </w:pP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fr-FR" w:eastAsia="zh-CN" w:bidi="ar"/>
        </w:rPr>
        <w:t>1-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Environnement de contrôle</w:t>
      </w:r>
      <w:r>
        <w:rPr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 </w:t>
      </w:r>
    </w:p>
    <w:p w14:paraId="101675A7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Engagement en faveur de l'intégrité et des valeurs éthiques.</w:t>
      </w:r>
    </w:p>
    <w:p w14:paraId="7716336D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Indépendance du Conseil d'administration vis-à-vis du management.</w:t>
      </w:r>
    </w:p>
    <w:p w14:paraId="41E2D2D8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Définition des structures, des pouvoirs et des responsabilités par la direction.</w:t>
      </w:r>
    </w:p>
    <w:p w14:paraId="6DD51BEA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Engagement à attirer, former et fidéliser des collaborateurs compétents.</w:t>
      </w:r>
    </w:p>
    <w:p w14:paraId="2D9BDEA1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  <w:jc w:val="left"/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Instauration d'un devoir de rendre compte des responsabilités de contr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>ô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le.</w:t>
      </w:r>
    </w:p>
    <w:p w14:paraId="7FB77FC6">
      <w:pPr>
        <w:widowControl/>
        <w:spacing w:line="360" w:lineRule="atLeast"/>
        <w:ind w:left="0" w:firstLine="0"/>
        <w:jc w:val="left"/>
        <w:rPr>
          <w:rFonts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</w:rPr>
      </w:pP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2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fr-FR" w:eastAsia="zh-CN" w:bidi="ar"/>
        </w:rPr>
        <w:t>-</w:t>
      </w:r>
      <w:r>
        <w:rPr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 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Évaluation des risques</w:t>
      </w:r>
      <w:r>
        <w:rPr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 </w:t>
      </w:r>
    </w:p>
    <w:p w14:paraId="6F78C87B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Définition des objectifs de façon claire.</w:t>
      </w:r>
    </w:p>
    <w:p w14:paraId="796B7567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Identification et évaluation des risques susceptibles d'affecter la réalisation des objectifs.</w:t>
      </w:r>
    </w:p>
    <w:p w14:paraId="4106A827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Prise en compte du risque de fraude.</w:t>
      </w:r>
    </w:p>
    <w:p w14:paraId="6F3657F5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Identification et évaluation des changements importants susceptibles d'impacter le système de contrôle</w:t>
      </w:r>
    </w:p>
    <w:p w14:paraId="48C2D425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  <w:jc w:val="left"/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</w:pPr>
    </w:p>
    <w:p w14:paraId="720A51D4">
      <w:pPr>
        <w:widowControl/>
        <w:spacing w:line="360" w:lineRule="atLeast"/>
        <w:ind w:left="0" w:firstLine="0"/>
        <w:jc w:val="left"/>
        <w:rPr>
          <w:rFonts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</w:rPr>
      </w:pP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3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fr-FR" w:eastAsia="zh-CN" w:bidi="ar"/>
        </w:rPr>
        <w:t xml:space="preserve">- 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Activités de contrôle</w:t>
      </w:r>
      <w:r>
        <w:rPr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 </w:t>
      </w:r>
    </w:p>
    <w:p w14:paraId="06AF58EA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Sélection et développement d'activités de contrôle pour atténuer les risques.</w:t>
      </w:r>
    </w:p>
    <w:p w14:paraId="254DB96B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Sélection et développement de contrôles généraux sur la technologie.</w:t>
      </w:r>
    </w:p>
    <w:p w14:paraId="2D2B21CE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Mise en œuvre des contrôles via des politiques et des procédures.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 </w:t>
      </w:r>
    </w:p>
    <w:p w14:paraId="48C482A6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="0" w:right="0" w:firstLine="0"/>
        <w:jc w:val="left"/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</w:rPr>
      </w:pPr>
    </w:p>
    <w:p w14:paraId="7BFC8CBE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</w:p>
    <w:p w14:paraId="0ED3F247">
      <w:pPr>
        <w:widowControl/>
        <w:spacing w:line="360" w:lineRule="atLeast"/>
        <w:ind w:left="0" w:firstLine="0"/>
        <w:jc w:val="left"/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</w:rPr>
      </w:pP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4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fr-FR" w:eastAsia="zh-CN" w:bidi="ar"/>
        </w:rPr>
        <w:t xml:space="preserve">- 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Information et communication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fr-FR" w:eastAsia="zh-CN" w:bidi="ar"/>
        </w:rPr>
        <w:t xml:space="preserve"> </w:t>
      </w:r>
    </w:p>
    <w:p w14:paraId="54F74E02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Utilisation d'informations pertinentes et de qualité.</w:t>
      </w:r>
    </w:p>
    <w:p w14:paraId="1385CDE5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Communication interne des informations nécessaires au contrôle.</w:t>
      </w:r>
    </w:p>
    <w:p w14:paraId="54F2A369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Communication externe sur les sujets affectant le contrôle interne.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 </w:t>
      </w:r>
    </w:p>
    <w:p w14:paraId="2BFF9B3F"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="0" w:right="0" w:firstLine="0"/>
        <w:jc w:val="left"/>
      </w:pPr>
    </w:p>
    <w:p w14:paraId="6B24068B">
      <w:pPr>
        <w:widowControl/>
        <w:spacing w:line="360" w:lineRule="atLeast"/>
        <w:ind w:left="0" w:firstLine="0"/>
        <w:jc w:val="left"/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</w:rPr>
      </w:pP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5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fr-FR" w:eastAsia="zh-CN" w:bidi="ar"/>
        </w:rPr>
        <w:t xml:space="preserve">- 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 xml:space="preserve">Activités de </w:t>
      </w:r>
      <w:r>
        <w:rPr>
          <w:rStyle w:val="3"/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fr-FR" w:eastAsia="zh-CN" w:bidi="ar"/>
        </w:rPr>
        <w:t xml:space="preserve">surveillance  </w:t>
      </w:r>
      <w:bookmarkStart w:id="0" w:name="_GoBack"/>
      <w:bookmarkEnd w:id="0"/>
      <w:r>
        <w:rPr>
          <w:rFonts w:hint="default" w:ascii="var(--nkmQOe)" w:hAnsi="var(--nkmQOe)" w:eastAsia="var(--nkmQOe)" w:cs="var(--nkmQOe)"/>
          <w:b/>
          <w:i w:val="0"/>
          <w:caps w:val="0"/>
          <w:color w:val="0A0A0A"/>
          <w:spacing w:val="0"/>
          <w:kern w:val="0"/>
          <w:sz w:val="24"/>
          <w:szCs w:val="24"/>
          <w:u w:val="none"/>
          <w:lang w:val="en-US" w:eastAsia="zh-CN" w:bidi="ar"/>
        </w:rPr>
        <w:t> </w:t>
      </w:r>
    </w:p>
    <w:p w14:paraId="1F8D6F61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Sélection, développement et réalisation d'évaluations continues ou ponctuelles.</w:t>
      </w:r>
    </w:p>
    <w:p w14:paraId="6BF83EA2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</w:pP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  <w:lang w:val="fr-FR"/>
        </w:rPr>
        <w:t xml:space="preserve">- </w:t>
      </w:r>
      <w:r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  <w:t>Évaluation et communication des faiblesses de contrôle interne aux responsables.</w:t>
      </w:r>
    </w:p>
    <w:p w14:paraId="285E3B58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  <w:jc w:val="left"/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</w:pPr>
    </w:p>
    <w:p w14:paraId="5EF9BE76">
      <w:pPr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Autospacing="0" w:after="180" w:afterAutospacing="0" w:line="360" w:lineRule="atLeast"/>
        <w:ind w:leftChars="0" w:right="0" w:rightChars="0"/>
        <w:jc w:val="left"/>
        <w:rPr>
          <w:rFonts w:hint="default" w:ascii="var(--nkmQOe)" w:hAnsi="var(--nkmQOe)" w:eastAsia="var(--nkmQOe)" w:cs="var(--nkmQOe)"/>
          <w:i w:val="0"/>
          <w:caps w:val="0"/>
          <w:color w:val="0A0A0A"/>
          <w:spacing w:val="0"/>
          <w:sz w:val="24"/>
          <w:szCs w:val="24"/>
          <w:u w:val="none"/>
          <w:bdr w:val="none" w:color="auto" w:sz="0" w:space="0"/>
        </w:rPr>
      </w:pPr>
    </w:p>
    <w:p w14:paraId="282AA047">
      <w:pPr>
        <w:rPr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nkmQOe)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2026-03-22T20:38:20Z</dcterms:created>
  <dc:creator>iPhone</dc:creator>
  <cp:lastModifiedBy>iPhone</cp:lastModifiedBy>
  <dcterms:modified xsi:type="dcterms:W3CDTF">2026-03-22T20:47:22Z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2052-11.37.20</vt:lpwstr>
  </property>
  <property fmtid="{D5CDD505-2E9C-101B-9397-08002B2CF9AE}" pid="3" name="ICV">
    <vt:lpwstr>D66F581B4520062E2C45C069453B0393_31</vt:lpwstr>
  </property>
</Properties>
</file>