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B1D40" w14:textId="44408E9D" w:rsidR="008047D3" w:rsidRPr="00EC6C79" w:rsidRDefault="005319FD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EC6C79">
        <w:rPr>
          <w:rFonts w:ascii="Times New Roman" w:hAnsi="Times New Roman" w:cs="Times New Roman"/>
          <w:sz w:val="24"/>
          <w:szCs w:val="24"/>
          <w:lang w:val="fr-FR"/>
        </w:rPr>
        <w:t>NGO BILIM KAMENI NICOLE</w:t>
      </w:r>
    </w:p>
    <w:p w14:paraId="1083B188" w14:textId="2547C101" w:rsidR="005319FD" w:rsidRPr="00EC6C79" w:rsidRDefault="005319FD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EC6C79">
        <w:rPr>
          <w:rFonts w:ascii="Times New Roman" w:hAnsi="Times New Roman" w:cs="Times New Roman"/>
          <w:sz w:val="24"/>
          <w:szCs w:val="24"/>
          <w:lang w:val="fr-FR"/>
        </w:rPr>
        <w:t>HN_MSI_3</w:t>
      </w:r>
    </w:p>
    <w:p w14:paraId="15295B8D" w14:textId="681A1889" w:rsidR="005319FD" w:rsidRPr="00EC6C79" w:rsidRDefault="005319FD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EC6C79">
        <w:rPr>
          <w:rFonts w:ascii="Times New Roman" w:hAnsi="Times New Roman" w:cs="Times New Roman"/>
          <w:sz w:val="24"/>
          <w:szCs w:val="24"/>
          <w:lang w:val="fr-FR"/>
        </w:rPr>
        <w:t>23P126</w:t>
      </w:r>
    </w:p>
    <w:p w14:paraId="425F1C71" w14:textId="77777777" w:rsidR="002C4D8A" w:rsidRDefault="002C4D8A" w:rsidP="002C4D8A">
      <w:pPr>
        <w:ind w:left="2124"/>
        <w:rPr>
          <w:rFonts w:ascii="Times New Roman" w:hAnsi="Times New Roman" w:cs="Times New Roman"/>
          <w:sz w:val="24"/>
          <w:szCs w:val="24"/>
          <w:lang w:val="fr-FR"/>
        </w:rPr>
      </w:pPr>
    </w:p>
    <w:p w14:paraId="32C486AE" w14:textId="608DFE3C" w:rsidR="00EC6C79" w:rsidRPr="002C4D8A" w:rsidRDefault="005319FD" w:rsidP="002C4D8A">
      <w:pPr>
        <w:ind w:left="2124"/>
        <w:rPr>
          <w:rFonts w:ascii="Times New Roman" w:hAnsi="Times New Roman" w:cs="Times New Roman"/>
          <w:sz w:val="24"/>
          <w:szCs w:val="24"/>
          <w:lang w:val="fr-FR"/>
        </w:rPr>
      </w:pPr>
      <w:r w:rsidRPr="002C4D8A">
        <w:rPr>
          <w:rFonts w:ascii="Times New Roman" w:hAnsi="Times New Roman" w:cs="Times New Roman"/>
          <w:sz w:val="24"/>
          <w:szCs w:val="24"/>
          <w:lang w:val="fr-FR"/>
        </w:rPr>
        <w:t xml:space="preserve">Devoir :  </w:t>
      </w:r>
    </w:p>
    <w:p w14:paraId="311D4C81" w14:textId="77777777" w:rsidR="00EC6C79" w:rsidRPr="00EC6C79" w:rsidRDefault="00EC6C79" w:rsidP="00EC6C79">
      <w:pPr>
        <w:pStyle w:val="ListParagraph"/>
        <w:ind w:left="1428"/>
        <w:rPr>
          <w:rFonts w:ascii="Times New Roman" w:hAnsi="Times New Roman" w:cs="Times New Roman"/>
          <w:sz w:val="24"/>
          <w:szCs w:val="24"/>
          <w:lang w:val="fr-FR"/>
        </w:rPr>
      </w:pPr>
    </w:p>
    <w:p w14:paraId="4366F33E" w14:textId="1501FA81" w:rsidR="005319FD" w:rsidRPr="002C4D8A" w:rsidRDefault="00EC6C79" w:rsidP="00EC6C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EC6C79">
        <w:rPr>
          <w:rFonts w:ascii="Times New Roman" w:hAnsi="Times New Roman" w:cs="Times New Roman"/>
          <w:sz w:val="24"/>
          <w:szCs w:val="24"/>
          <w:lang w:val="fr-FR"/>
        </w:rPr>
        <w:t>D</w:t>
      </w:r>
      <w:r w:rsidR="005319FD" w:rsidRPr="00EC6C79">
        <w:rPr>
          <w:rFonts w:ascii="Times New Roman" w:hAnsi="Times New Roman" w:cs="Times New Roman"/>
          <w:sz w:val="24"/>
          <w:szCs w:val="24"/>
          <w:lang w:val="fr-FR"/>
        </w:rPr>
        <w:t xml:space="preserve">onner les 5 composantes du COSO et par la suite les 17 principes rangés par </w:t>
      </w:r>
      <w:r w:rsidR="005319FD" w:rsidRPr="002C4D8A">
        <w:rPr>
          <w:rFonts w:ascii="Times New Roman" w:hAnsi="Times New Roman" w:cs="Times New Roman"/>
          <w:sz w:val="24"/>
          <w:szCs w:val="24"/>
          <w:lang w:val="fr-FR"/>
        </w:rPr>
        <w:t>composante.</w:t>
      </w:r>
    </w:p>
    <w:p w14:paraId="61670FEA" w14:textId="77777777" w:rsidR="005319FD" w:rsidRPr="00EC6C79" w:rsidRDefault="005319FD" w:rsidP="005319FD">
      <w:pPr>
        <w:rPr>
          <w:rFonts w:ascii="Times New Roman" w:hAnsi="Times New Roman" w:cs="Times New Roman"/>
          <w:sz w:val="24"/>
          <w:szCs w:val="24"/>
          <w:lang w:val="fr-FR"/>
        </w:rPr>
      </w:pP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978"/>
        <w:gridCol w:w="1561"/>
        <w:gridCol w:w="1704"/>
        <w:gridCol w:w="1803"/>
        <w:gridCol w:w="1584"/>
      </w:tblGrid>
      <w:tr w:rsidR="00EC6C79" w:rsidRPr="00EC6C79" w14:paraId="783257B7" w14:textId="77777777" w:rsidTr="001F06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6068905" w14:textId="0AB0965D" w:rsidR="001F062B" w:rsidRPr="00EC6C79" w:rsidRDefault="001F062B" w:rsidP="005319F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EC6C7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L’environnement de contrôle</w:t>
            </w:r>
          </w:p>
        </w:tc>
        <w:tc>
          <w:tcPr>
            <w:tcW w:w="1614" w:type="dxa"/>
          </w:tcPr>
          <w:p w14:paraId="23C3762F" w14:textId="068034F1" w:rsidR="001F062B" w:rsidRPr="00EC6C79" w:rsidRDefault="001F062B" w:rsidP="005319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EC6C7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L’évaluation des risques</w:t>
            </w:r>
          </w:p>
        </w:tc>
        <w:tc>
          <w:tcPr>
            <w:tcW w:w="1726" w:type="dxa"/>
          </w:tcPr>
          <w:p w14:paraId="1C99BC19" w14:textId="299DC451" w:rsidR="001F062B" w:rsidRPr="00EC6C79" w:rsidRDefault="001F062B" w:rsidP="005319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EC6C7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Activité de contrôle</w:t>
            </w:r>
          </w:p>
        </w:tc>
        <w:tc>
          <w:tcPr>
            <w:tcW w:w="1726" w:type="dxa"/>
          </w:tcPr>
          <w:p w14:paraId="50D1C873" w14:textId="18ED8B5A" w:rsidR="001F062B" w:rsidRPr="00EC6C79" w:rsidRDefault="001F062B" w:rsidP="005319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EC6C7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Information et communication</w:t>
            </w:r>
          </w:p>
        </w:tc>
        <w:tc>
          <w:tcPr>
            <w:tcW w:w="1726" w:type="dxa"/>
          </w:tcPr>
          <w:p w14:paraId="1B03B48D" w14:textId="30F8300F" w:rsidR="001F062B" w:rsidRPr="00EC6C79" w:rsidRDefault="001F062B" w:rsidP="005319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EC6C7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Activités de surveillance</w:t>
            </w:r>
          </w:p>
        </w:tc>
      </w:tr>
      <w:tr w:rsidR="00EC6C79" w:rsidRPr="00EC6C79" w14:paraId="37E69574" w14:textId="77777777" w:rsidTr="001F0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E5C0729" w14:textId="3400F2A9" w:rsidR="001F062B" w:rsidRPr="00EC6C79" w:rsidRDefault="001F062B" w:rsidP="005319FD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fr-FR"/>
              </w:rPr>
            </w:pPr>
            <w:r w:rsidRPr="00EC6C7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fr-FR"/>
              </w:rPr>
              <w:t>E</w:t>
            </w:r>
            <w:r w:rsidRPr="00EC6C7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fr-FR"/>
              </w:rPr>
              <w:t>ngagement pour l’intégrité et les valeurs éthiques</w:t>
            </w:r>
          </w:p>
        </w:tc>
        <w:tc>
          <w:tcPr>
            <w:tcW w:w="1614" w:type="dxa"/>
          </w:tcPr>
          <w:p w14:paraId="63735C9C" w14:textId="595D9EBD" w:rsidR="001F062B" w:rsidRPr="00EC6C79" w:rsidRDefault="001F062B" w:rsidP="001F06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</w:pPr>
            <w:r w:rsidRPr="00EC6C79"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  <w:t>D</w:t>
            </w:r>
            <w:r w:rsidRPr="00EC6C79"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  <w:t xml:space="preserve">éfinition d’objectifs clairs </w:t>
            </w:r>
          </w:p>
          <w:p w14:paraId="6B8B7726" w14:textId="77777777" w:rsidR="001F062B" w:rsidRPr="00EC6C79" w:rsidRDefault="001F062B" w:rsidP="005319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726" w:type="dxa"/>
          </w:tcPr>
          <w:p w14:paraId="6066E30A" w14:textId="1973E006" w:rsidR="001F062B" w:rsidRPr="00EC6C79" w:rsidRDefault="00EC6C79" w:rsidP="005319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EC6C7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</w:t>
            </w:r>
            <w:r w:rsidRPr="00EC6C7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élection et développement des activités de contrôle</w:t>
            </w:r>
          </w:p>
        </w:tc>
        <w:tc>
          <w:tcPr>
            <w:tcW w:w="1726" w:type="dxa"/>
          </w:tcPr>
          <w:p w14:paraId="6620E8BF" w14:textId="204B63C1" w:rsidR="001F062B" w:rsidRPr="00EC6C79" w:rsidRDefault="00EC6C79" w:rsidP="005319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EC6C7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O</w:t>
            </w:r>
            <w:r w:rsidRPr="00EC6C7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btention et utilisation des informations pertinentes</w:t>
            </w:r>
          </w:p>
        </w:tc>
        <w:tc>
          <w:tcPr>
            <w:tcW w:w="1726" w:type="dxa"/>
          </w:tcPr>
          <w:p w14:paraId="178DD9BB" w14:textId="53277CC4" w:rsidR="001F062B" w:rsidRPr="00EC6C79" w:rsidRDefault="00EC6C79" w:rsidP="005319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EC6C7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</w:t>
            </w:r>
            <w:r w:rsidRPr="00EC6C7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valuation continues et spécifique</w:t>
            </w:r>
          </w:p>
        </w:tc>
      </w:tr>
      <w:tr w:rsidR="00EC6C79" w:rsidRPr="00EC6C79" w14:paraId="4F37CF05" w14:textId="77777777" w:rsidTr="001F062B">
        <w:trPr>
          <w:trHeight w:val="7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40057A9" w14:textId="00902830" w:rsidR="001F062B" w:rsidRPr="00EC6C79" w:rsidRDefault="001F062B" w:rsidP="005319FD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fr-FR"/>
              </w:rPr>
            </w:pPr>
            <w:r w:rsidRPr="00EC6C7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fr-FR"/>
              </w:rPr>
              <w:t>Conseil</w:t>
            </w:r>
            <w:r w:rsidRPr="00EC6C7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fr-FR"/>
              </w:rPr>
              <w:t xml:space="preserve"> d’administration indépendant et responsable</w:t>
            </w:r>
          </w:p>
        </w:tc>
        <w:tc>
          <w:tcPr>
            <w:tcW w:w="1614" w:type="dxa"/>
          </w:tcPr>
          <w:p w14:paraId="3C2FC40A" w14:textId="4D1F81F8" w:rsidR="001F062B" w:rsidRPr="00EC6C79" w:rsidRDefault="001F062B" w:rsidP="005319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EC6C7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</w:t>
            </w:r>
            <w:r w:rsidRPr="00EC6C7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dentification et analyse des risques</w:t>
            </w:r>
          </w:p>
        </w:tc>
        <w:tc>
          <w:tcPr>
            <w:tcW w:w="1726" w:type="dxa"/>
          </w:tcPr>
          <w:p w14:paraId="0F807EB7" w14:textId="5A15349A" w:rsidR="001F062B" w:rsidRPr="00EC6C79" w:rsidRDefault="00EC6C79" w:rsidP="005319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EC6C7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</w:t>
            </w:r>
            <w:r w:rsidRPr="00EC6C7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ontrôle sur les technologies</w:t>
            </w:r>
          </w:p>
        </w:tc>
        <w:tc>
          <w:tcPr>
            <w:tcW w:w="1726" w:type="dxa"/>
          </w:tcPr>
          <w:p w14:paraId="4F89E61B" w14:textId="1FB4D179" w:rsidR="001F062B" w:rsidRPr="00EC6C79" w:rsidRDefault="00EC6C79" w:rsidP="005319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EC6C7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</w:t>
            </w:r>
            <w:r w:rsidRPr="00EC6C7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ommunication interne efficace</w:t>
            </w:r>
          </w:p>
        </w:tc>
        <w:tc>
          <w:tcPr>
            <w:tcW w:w="1726" w:type="dxa"/>
          </w:tcPr>
          <w:p w14:paraId="784D796A" w14:textId="185B438E" w:rsidR="001F062B" w:rsidRPr="00EC6C79" w:rsidRDefault="00EC6C79" w:rsidP="005319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EC6C7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Remédiation</w:t>
            </w:r>
            <w:r w:rsidRPr="00EC6C7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aux déficiences identifiées</w:t>
            </w:r>
          </w:p>
        </w:tc>
      </w:tr>
      <w:tr w:rsidR="00EC6C79" w:rsidRPr="00EC6C79" w14:paraId="64182A02" w14:textId="77777777" w:rsidTr="001F0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B0DC1DE" w14:textId="596D5E07" w:rsidR="001F062B" w:rsidRPr="00EC6C79" w:rsidRDefault="001F062B" w:rsidP="005319FD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fr-FR"/>
              </w:rPr>
            </w:pPr>
            <w:r w:rsidRPr="00EC6C7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fr-FR"/>
              </w:rPr>
              <w:t>S</w:t>
            </w:r>
            <w:r w:rsidRPr="00EC6C7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fr-FR"/>
              </w:rPr>
              <w:t>tructure organisationnelle appropriée</w:t>
            </w:r>
          </w:p>
        </w:tc>
        <w:tc>
          <w:tcPr>
            <w:tcW w:w="1614" w:type="dxa"/>
          </w:tcPr>
          <w:p w14:paraId="49D32D53" w14:textId="6578E710" w:rsidR="001F062B" w:rsidRPr="00EC6C79" w:rsidRDefault="001F062B" w:rsidP="005319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EC6C7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</w:t>
            </w:r>
            <w:r w:rsidRPr="00EC6C7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valuation des fraudes potentielles</w:t>
            </w:r>
          </w:p>
        </w:tc>
        <w:tc>
          <w:tcPr>
            <w:tcW w:w="1726" w:type="dxa"/>
          </w:tcPr>
          <w:p w14:paraId="457EB486" w14:textId="388738E3" w:rsidR="001F062B" w:rsidRPr="00EC6C79" w:rsidRDefault="00EC6C79" w:rsidP="005319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EC6C7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</w:t>
            </w:r>
            <w:r w:rsidRPr="00EC6C7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ise en œuvre des politiques et des procédures</w:t>
            </w:r>
          </w:p>
        </w:tc>
        <w:tc>
          <w:tcPr>
            <w:tcW w:w="1726" w:type="dxa"/>
          </w:tcPr>
          <w:p w14:paraId="28E05DAF" w14:textId="7DAE6498" w:rsidR="001F062B" w:rsidRPr="00EC6C79" w:rsidRDefault="00EC6C79" w:rsidP="005319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EC6C7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</w:t>
            </w:r>
            <w:r w:rsidRPr="00EC6C7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ommunication externe efficace</w:t>
            </w:r>
          </w:p>
        </w:tc>
        <w:tc>
          <w:tcPr>
            <w:tcW w:w="1726" w:type="dxa"/>
          </w:tcPr>
          <w:p w14:paraId="4276D6B8" w14:textId="77777777" w:rsidR="001F062B" w:rsidRPr="00EC6C79" w:rsidRDefault="001F062B" w:rsidP="005319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EC6C79" w:rsidRPr="00EC6C79" w14:paraId="621361C3" w14:textId="77777777" w:rsidTr="001F062B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E106E6A" w14:textId="42869090" w:rsidR="001F062B" w:rsidRPr="00EC6C79" w:rsidRDefault="001F062B" w:rsidP="005319FD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fr-FR"/>
              </w:rPr>
            </w:pPr>
            <w:r w:rsidRPr="00EC6C7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fr-FR"/>
              </w:rPr>
              <w:t>A</w:t>
            </w:r>
            <w:r w:rsidRPr="00EC6C7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fr-FR"/>
              </w:rPr>
              <w:t>ttraction, développement et rétention des talents compétents</w:t>
            </w:r>
          </w:p>
        </w:tc>
        <w:tc>
          <w:tcPr>
            <w:tcW w:w="1614" w:type="dxa"/>
          </w:tcPr>
          <w:p w14:paraId="27688A43" w14:textId="0EBE2F78" w:rsidR="001F062B" w:rsidRPr="00EC6C79" w:rsidRDefault="001F062B" w:rsidP="005319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EC6C7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</w:t>
            </w:r>
            <w:r w:rsidRPr="00EC6C7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dentification des changements significatifs</w:t>
            </w:r>
          </w:p>
        </w:tc>
        <w:tc>
          <w:tcPr>
            <w:tcW w:w="1726" w:type="dxa"/>
          </w:tcPr>
          <w:p w14:paraId="708CF731" w14:textId="77777777" w:rsidR="001F062B" w:rsidRPr="00EC6C79" w:rsidRDefault="001F062B" w:rsidP="005319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726" w:type="dxa"/>
          </w:tcPr>
          <w:p w14:paraId="6AF3FE3F" w14:textId="77777777" w:rsidR="001F062B" w:rsidRPr="00EC6C79" w:rsidRDefault="001F062B" w:rsidP="005319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726" w:type="dxa"/>
          </w:tcPr>
          <w:p w14:paraId="2D6DA302" w14:textId="77777777" w:rsidR="001F062B" w:rsidRPr="00EC6C79" w:rsidRDefault="001F062B" w:rsidP="005319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EC6C79" w:rsidRPr="00EC6C79" w14:paraId="61083AD9" w14:textId="77777777" w:rsidTr="001F0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E4DD912" w14:textId="0AC0C80A" w:rsidR="00EC6C79" w:rsidRPr="00EC6C79" w:rsidRDefault="00EC6C79" w:rsidP="005319FD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fr-FR"/>
              </w:rPr>
            </w:pPr>
            <w:r w:rsidRPr="00EC6C7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fr-FR"/>
              </w:rPr>
              <w:t>Re</w:t>
            </w:r>
            <w:r w:rsidRPr="00EC6C7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fr-FR"/>
              </w:rPr>
              <w:t>sponsabilité et performances</w:t>
            </w:r>
            <w:r w:rsidRPr="00EC6C7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fr-FR"/>
              </w:rPr>
              <w:t xml:space="preserve"> individuelles</w:t>
            </w:r>
          </w:p>
        </w:tc>
        <w:tc>
          <w:tcPr>
            <w:tcW w:w="1614" w:type="dxa"/>
          </w:tcPr>
          <w:p w14:paraId="2B8D5564" w14:textId="77777777" w:rsidR="00EC6C79" w:rsidRPr="00EC6C79" w:rsidRDefault="00EC6C79" w:rsidP="005319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726" w:type="dxa"/>
          </w:tcPr>
          <w:p w14:paraId="6811AC9A" w14:textId="77777777" w:rsidR="00EC6C79" w:rsidRPr="00EC6C79" w:rsidRDefault="00EC6C79" w:rsidP="005319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726" w:type="dxa"/>
          </w:tcPr>
          <w:p w14:paraId="09177088" w14:textId="77777777" w:rsidR="00EC6C79" w:rsidRPr="00EC6C79" w:rsidRDefault="00EC6C79" w:rsidP="005319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726" w:type="dxa"/>
          </w:tcPr>
          <w:p w14:paraId="6344CA0D" w14:textId="77777777" w:rsidR="00EC6C79" w:rsidRPr="00EC6C79" w:rsidRDefault="00EC6C79" w:rsidP="005319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</w:tr>
    </w:tbl>
    <w:p w14:paraId="5D8ACEBF" w14:textId="70BD8838" w:rsidR="005319FD" w:rsidRPr="00EC6C79" w:rsidRDefault="005319FD" w:rsidP="005319FD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6C75C55F" w14:textId="77777777" w:rsidR="00EC6C79" w:rsidRPr="00EC6C79" w:rsidRDefault="00EC6C79" w:rsidP="00EC6C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21D13B" w14:textId="77777777" w:rsidR="00EC6C79" w:rsidRPr="00EC6C79" w:rsidRDefault="00EC6C79" w:rsidP="00EC6C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C6C79">
        <w:rPr>
          <w:rFonts w:ascii="Times New Roman" w:hAnsi="Times New Roman" w:cs="Times New Roman"/>
          <w:sz w:val="24"/>
          <w:szCs w:val="24"/>
        </w:rPr>
        <w:t>Dans quelle cellule placer les bordereaux de transmission ?</w:t>
      </w:r>
    </w:p>
    <w:p w14:paraId="1564D13A" w14:textId="77777777" w:rsidR="00EC6C79" w:rsidRPr="00EC6C79" w:rsidRDefault="00EC6C79" w:rsidP="00EC6C79">
      <w:pPr>
        <w:rPr>
          <w:rFonts w:ascii="Times New Roman" w:hAnsi="Times New Roman" w:cs="Times New Roman"/>
          <w:sz w:val="24"/>
          <w:szCs w:val="24"/>
        </w:rPr>
      </w:pPr>
      <w:r w:rsidRPr="00EC6C79">
        <w:rPr>
          <w:rFonts w:ascii="Times New Roman" w:hAnsi="Times New Roman" w:cs="Times New Roman"/>
          <w:sz w:val="24"/>
          <w:szCs w:val="24"/>
        </w:rPr>
        <w:t>Composante : Activités de contrôle (3)</w:t>
      </w:r>
    </w:p>
    <w:p w14:paraId="57BB5D3C" w14:textId="77777777" w:rsidR="00EC6C79" w:rsidRPr="00EC6C79" w:rsidRDefault="00EC6C79" w:rsidP="00EC6C79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EC6C79">
        <w:rPr>
          <w:rFonts w:ascii="Times New Roman" w:hAnsi="Times New Roman" w:cs="Times New Roman"/>
          <w:sz w:val="24"/>
          <w:szCs w:val="24"/>
          <w:lang w:val="fr-FR"/>
        </w:rPr>
        <w:t xml:space="preserve">Principe : mise en œuvre des politiques et procédures </w:t>
      </w:r>
    </w:p>
    <w:p w14:paraId="109488CA" w14:textId="2D505984" w:rsidR="002C4D8A" w:rsidRPr="00EC6C79" w:rsidRDefault="00EC6C79" w:rsidP="00EC6C79">
      <w:pPr>
        <w:rPr>
          <w:rFonts w:ascii="Times New Roman" w:hAnsi="Times New Roman" w:cs="Times New Roman"/>
          <w:sz w:val="24"/>
          <w:szCs w:val="24"/>
        </w:rPr>
      </w:pPr>
      <w:r w:rsidRPr="00EC6C79">
        <w:rPr>
          <w:rFonts w:ascii="Times New Roman" w:hAnsi="Times New Roman" w:cs="Times New Roman"/>
          <w:sz w:val="24"/>
          <w:szCs w:val="24"/>
        </w:rPr>
        <w:t xml:space="preserve"> Car les bordereaux servent à </w:t>
      </w:r>
      <w:r w:rsidRPr="00EC6C79">
        <w:rPr>
          <w:rFonts w:ascii="Times New Roman" w:hAnsi="Times New Roman" w:cs="Times New Roman"/>
          <w:sz w:val="24"/>
          <w:szCs w:val="24"/>
          <w:lang w:val="fr-FR"/>
        </w:rPr>
        <w:t>formaliser</w:t>
      </w:r>
      <w:r w:rsidRPr="00EC6C79">
        <w:rPr>
          <w:rFonts w:ascii="Times New Roman" w:hAnsi="Times New Roman" w:cs="Times New Roman"/>
          <w:sz w:val="24"/>
          <w:szCs w:val="24"/>
        </w:rPr>
        <w:t xml:space="preserve"> et </w:t>
      </w:r>
      <w:r w:rsidRPr="00EC6C79">
        <w:rPr>
          <w:rFonts w:ascii="Times New Roman" w:hAnsi="Times New Roman" w:cs="Times New Roman"/>
          <w:sz w:val="24"/>
          <w:szCs w:val="24"/>
          <w:lang w:val="fr-FR"/>
        </w:rPr>
        <w:t xml:space="preserve">sécuriser </w:t>
      </w:r>
      <w:r w:rsidRPr="00EC6C79">
        <w:rPr>
          <w:rFonts w:ascii="Times New Roman" w:hAnsi="Times New Roman" w:cs="Times New Roman"/>
          <w:sz w:val="24"/>
          <w:szCs w:val="24"/>
        </w:rPr>
        <w:t>la transmission d’informations.</w:t>
      </w:r>
    </w:p>
    <w:p w14:paraId="4B46153B" w14:textId="77777777" w:rsidR="00EC6C79" w:rsidRPr="00EC6C79" w:rsidRDefault="00EC6C79" w:rsidP="00EC6C79">
      <w:pPr>
        <w:rPr>
          <w:rFonts w:ascii="Times New Roman" w:hAnsi="Times New Roman" w:cs="Times New Roman"/>
          <w:sz w:val="24"/>
          <w:szCs w:val="24"/>
        </w:rPr>
      </w:pPr>
    </w:p>
    <w:p w14:paraId="2DBA6E1C" w14:textId="77777777" w:rsidR="00EC6C79" w:rsidRDefault="00EC6C79" w:rsidP="00EC6C79">
      <w:pPr>
        <w:rPr>
          <w:rFonts w:ascii="Times New Roman" w:hAnsi="Times New Roman" w:cs="Times New Roman"/>
          <w:sz w:val="24"/>
          <w:szCs w:val="24"/>
        </w:rPr>
      </w:pPr>
    </w:p>
    <w:p w14:paraId="13CB2835" w14:textId="73D22635" w:rsidR="00EC6C79" w:rsidRPr="00EC6C79" w:rsidRDefault="00EC6C79" w:rsidP="00EC6C79">
      <w:pPr>
        <w:tabs>
          <w:tab w:val="left" w:pos="53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sectPr w:rsidR="00EC6C79" w:rsidRPr="00EC6C79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2CA26" w14:textId="77777777" w:rsidR="00EC5751" w:rsidRDefault="00EC5751" w:rsidP="00EC6C79">
      <w:pPr>
        <w:spacing w:after="0" w:line="240" w:lineRule="auto"/>
      </w:pPr>
      <w:r>
        <w:separator/>
      </w:r>
    </w:p>
  </w:endnote>
  <w:endnote w:type="continuationSeparator" w:id="0">
    <w:p w14:paraId="05642C52" w14:textId="77777777" w:rsidR="00EC5751" w:rsidRDefault="00EC5751" w:rsidP="00EC6C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C57CB" w14:textId="77777777" w:rsidR="00EC5751" w:rsidRDefault="00EC5751" w:rsidP="00EC6C79">
      <w:pPr>
        <w:spacing w:after="0" w:line="240" w:lineRule="auto"/>
      </w:pPr>
      <w:r>
        <w:separator/>
      </w:r>
    </w:p>
  </w:footnote>
  <w:footnote w:type="continuationSeparator" w:id="0">
    <w:p w14:paraId="48577FE2" w14:textId="77777777" w:rsidR="00EC5751" w:rsidRDefault="00EC5751" w:rsidP="00EC6C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E61CF"/>
    <w:multiLevelType w:val="hybridMultilevel"/>
    <w:tmpl w:val="33FCD73C"/>
    <w:lvl w:ilvl="0" w:tplc="0C0C000F">
      <w:start w:val="1"/>
      <w:numFmt w:val="decimal"/>
      <w:lvlText w:val="%1."/>
      <w:lvlJc w:val="left"/>
      <w:pPr>
        <w:ind w:left="1428" w:hanging="360"/>
      </w:pPr>
    </w:lvl>
    <w:lvl w:ilvl="1" w:tplc="0C0C0019" w:tentative="1">
      <w:start w:val="1"/>
      <w:numFmt w:val="lowerLetter"/>
      <w:lvlText w:val="%2."/>
      <w:lvlJc w:val="left"/>
      <w:pPr>
        <w:ind w:left="2148" w:hanging="360"/>
      </w:pPr>
    </w:lvl>
    <w:lvl w:ilvl="2" w:tplc="0C0C001B" w:tentative="1">
      <w:start w:val="1"/>
      <w:numFmt w:val="lowerRoman"/>
      <w:lvlText w:val="%3."/>
      <w:lvlJc w:val="right"/>
      <w:pPr>
        <w:ind w:left="2868" w:hanging="180"/>
      </w:pPr>
    </w:lvl>
    <w:lvl w:ilvl="3" w:tplc="0C0C000F" w:tentative="1">
      <w:start w:val="1"/>
      <w:numFmt w:val="decimal"/>
      <w:lvlText w:val="%4."/>
      <w:lvlJc w:val="left"/>
      <w:pPr>
        <w:ind w:left="3588" w:hanging="360"/>
      </w:pPr>
    </w:lvl>
    <w:lvl w:ilvl="4" w:tplc="0C0C0019" w:tentative="1">
      <w:start w:val="1"/>
      <w:numFmt w:val="lowerLetter"/>
      <w:lvlText w:val="%5."/>
      <w:lvlJc w:val="left"/>
      <w:pPr>
        <w:ind w:left="4308" w:hanging="360"/>
      </w:pPr>
    </w:lvl>
    <w:lvl w:ilvl="5" w:tplc="0C0C001B" w:tentative="1">
      <w:start w:val="1"/>
      <w:numFmt w:val="lowerRoman"/>
      <w:lvlText w:val="%6."/>
      <w:lvlJc w:val="right"/>
      <w:pPr>
        <w:ind w:left="5028" w:hanging="180"/>
      </w:pPr>
    </w:lvl>
    <w:lvl w:ilvl="6" w:tplc="0C0C000F" w:tentative="1">
      <w:start w:val="1"/>
      <w:numFmt w:val="decimal"/>
      <w:lvlText w:val="%7."/>
      <w:lvlJc w:val="left"/>
      <w:pPr>
        <w:ind w:left="5748" w:hanging="360"/>
      </w:pPr>
    </w:lvl>
    <w:lvl w:ilvl="7" w:tplc="0C0C0019" w:tentative="1">
      <w:start w:val="1"/>
      <w:numFmt w:val="lowerLetter"/>
      <w:lvlText w:val="%8."/>
      <w:lvlJc w:val="left"/>
      <w:pPr>
        <w:ind w:left="6468" w:hanging="360"/>
      </w:pPr>
    </w:lvl>
    <w:lvl w:ilvl="8" w:tplc="0C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602A65EE"/>
    <w:multiLevelType w:val="hybridMultilevel"/>
    <w:tmpl w:val="6794EF30"/>
    <w:lvl w:ilvl="0" w:tplc="0C0C000F">
      <w:start w:val="1"/>
      <w:numFmt w:val="decimal"/>
      <w:lvlText w:val="%1."/>
      <w:lvlJc w:val="left"/>
      <w:pPr>
        <w:ind w:left="360" w:hanging="360"/>
      </w:p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98906330">
    <w:abstractNumId w:val="0"/>
  </w:num>
  <w:num w:numId="2" w16cid:durableId="1644844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9FD"/>
    <w:rsid w:val="001F062B"/>
    <w:rsid w:val="002C4D8A"/>
    <w:rsid w:val="005319FD"/>
    <w:rsid w:val="007B3BD6"/>
    <w:rsid w:val="008047D3"/>
    <w:rsid w:val="00DB1FE3"/>
    <w:rsid w:val="00EC5751"/>
    <w:rsid w:val="00EC6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65F61"/>
  <w15:chartTrackingRefBased/>
  <w15:docId w15:val="{9C34C4EB-9003-4DA0-8129-31C42B83E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9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9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9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9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9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9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9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9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9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9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9FD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319F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319F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319F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19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319FD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1F06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1F062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6">
    <w:name w:val="Grid Table 4 Accent 6"/>
    <w:basedOn w:val="TableNormal"/>
    <w:uiPriority w:val="49"/>
    <w:rsid w:val="001F062B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EC6C7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C79"/>
  </w:style>
  <w:style w:type="paragraph" w:styleId="Footer">
    <w:name w:val="footer"/>
    <w:basedOn w:val="Normal"/>
    <w:link w:val="FooterChar"/>
    <w:uiPriority w:val="99"/>
    <w:unhideWhenUsed/>
    <w:rsid w:val="00EC6C7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C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192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2026-03-22T19:29:00Z</dcterms:created>
  <dcterms:modified xsi:type="dcterms:W3CDTF">2026-03-22T20:09:00Z</dcterms:modified>
</cp:coreProperties>
</file>