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1"/>
        <w:gridCol w:w="3602"/>
      </w:tblGrid>
      <w:tr w:rsidR="00407020" w14:paraId="64A9D6E0" w14:textId="77777777" w:rsidTr="00751B5F">
        <w:trPr>
          <w:trHeight w:val="382"/>
        </w:trPr>
        <w:tc>
          <w:tcPr>
            <w:tcW w:w="3601" w:type="dxa"/>
          </w:tcPr>
          <w:p w14:paraId="1280D331" w14:textId="2ABF7CAB" w:rsidR="00407020" w:rsidRDefault="00407020">
            <w:r>
              <w:t xml:space="preserve">Composantes du COSO </w:t>
            </w:r>
          </w:p>
        </w:tc>
        <w:tc>
          <w:tcPr>
            <w:tcW w:w="3602" w:type="dxa"/>
          </w:tcPr>
          <w:p w14:paraId="7332C348" w14:textId="48296A59" w:rsidR="00407020" w:rsidRDefault="00407020">
            <w:r>
              <w:t xml:space="preserve">Principes </w:t>
            </w:r>
          </w:p>
        </w:tc>
      </w:tr>
      <w:tr w:rsidR="00407020" w14:paraId="7CD6ABE2" w14:textId="77777777" w:rsidTr="00751B5F">
        <w:trPr>
          <w:trHeight w:val="2728"/>
        </w:trPr>
        <w:tc>
          <w:tcPr>
            <w:tcW w:w="3601" w:type="dxa"/>
          </w:tcPr>
          <w:p w14:paraId="62A52CF5" w14:textId="316CE407" w:rsidR="00407020" w:rsidRDefault="006209FC" w:rsidP="006209FC">
            <w:pPr>
              <w:pStyle w:val="ListParagraph"/>
              <w:numPr>
                <w:ilvl w:val="0"/>
                <w:numId w:val="1"/>
              </w:numPr>
            </w:pPr>
            <w:r w:rsidRPr="006209FC">
              <w:t>Environnement de contrôle</w:t>
            </w:r>
          </w:p>
        </w:tc>
        <w:tc>
          <w:tcPr>
            <w:tcW w:w="3602" w:type="dxa"/>
          </w:tcPr>
          <w:p w14:paraId="6815B601" w14:textId="77777777" w:rsidR="006209FC" w:rsidRDefault="006209FC">
            <w:r>
              <w:t>1.</w:t>
            </w:r>
            <w:r w:rsidRPr="006209FC">
              <w:t>Intégrité et valeurs éthiques</w:t>
            </w:r>
            <w:r>
              <w:t xml:space="preserve">       </w:t>
            </w:r>
            <w:r w:rsidRPr="006209FC">
              <w:t xml:space="preserve">  2. Indépendance du conseil et supervision  </w:t>
            </w:r>
          </w:p>
          <w:p w14:paraId="2C929B1A" w14:textId="77777777" w:rsidR="006209FC" w:rsidRDefault="006209FC">
            <w:r w:rsidRPr="006209FC">
              <w:t xml:space="preserve">3. Structure organisationnelle, autorité et responsabilité </w:t>
            </w:r>
          </w:p>
          <w:p w14:paraId="7F56A048" w14:textId="77777777" w:rsidR="00751B5F" w:rsidRDefault="006209FC">
            <w:r w:rsidRPr="006209FC">
              <w:t xml:space="preserve"> 4. Compétence du personnel </w:t>
            </w:r>
          </w:p>
          <w:p w14:paraId="75BAAE2F" w14:textId="03CA34C2" w:rsidR="00407020" w:rsidRDefault="006209FC">
            <w:r w:rsidRPr="006209FC">
              <w:t xml:space="preserve"> 5. Responsabilisation</w:t>
            </w:r>
          </w:p>
        </w:tc>
      </w:tr>
      <w:tr w:rsidR="00407020" w14:paraId="5FF1F939" w14:textId="77777777" w:rsidTr="00751B5F">
        <w:trPr>
          <w:trHeight w:val="2710"/>
        </w:trPr>
        <w:tc>
          <w:tcPr>
            <w:tcW w:w="3601" w:type="dxa"/>
          </w:tcPr>
          <w:p w14:paraId="528D05EB" w14:textId="7BBF2C62" w:rsidR="00407020" w:rsidRDefault="006209FC" w:rsidP="006209FC">
            <w:pPr>
              <w:pStyle w:val="ListParagraph"/>
              <w:numPr>
                <w:ilvl w:val="0"/>
                <w:numId w:val="1"/>
              </w:numPr>
            </w:pPr>
            <w:r w:rsidRPr="006209FC">
              <w:t>Évaluation des risque</w:t>
            </w:r>
          </w:p>
        </w:tc>
        <w:tc>
          <w:tcPr>
            <w:tcW w:w="3602" w:type="dxa"/>
          </w:tcPr>
          <w:p w14:paraId="5072C636" w14:textId="3E4700BB" w:rsidR="006209FC" w:rsidRDefault="006209FC">
            <w:r>
              <w:t xml:space="preserve">6. </w:t>
            </w:r>
            <w:r w:rsidRPr="006209FC">
              <w:t>Définition des objectifs</w:t>
            </w:r>
          </w:p>
          <w:p w14:paraId="64435740" w14:textId="77777777" w:rsidR="006209FC" w:rsidRDefault="006209FC">
            <w:r w:rsidRPr="006209FC">
              <w:t xml:space="preserve"> 7. Identification et analyse des risques</w:t>
            </w:r>
          </w:p>
          <w:p w14:paraId="23BAF621" w14:textId="77777777" w:rsidR="006209FC" w:rsidRDefault="006209FC">
            <w:r w:rsidRPr="006209FC">
              <w:t xml:space="preserve">  8. Analyse du risque de fraude </w:t>
            </w:r>
          </w:p>
          <w:p w14:paraId="0728FC4A" w14:textId="0677245F" w:rsidR="00407020" w:rsidRDefault="006209FC">
            <w:r w:rsidRPr="006209FC">
              <w:t xml:space="preserve"> 9. Identification des changements significatifs</w:t>
            </w:r>
          </w:p>
        </w:tc>
      </w:tr>
      <w:tr w:rsidR="00407020" w14:paraId="74E03544" w14:textId="77777777" w:rsidTr="00751B5F">
        <w:trPr>
          <w:trHeight w:val="2728"/>
        </w:trPr>
        <w:tc>
          <w:tcPr>
            <w:tcW w:w="3601" w:type="dxa"/>
          </w:tcPr>
          <w:p w14:paraId="60F2DD37" w14:textId="441DB341" w:rsidR="00407020" w:rsidRDefault="006209FC" w:rsidP="006209FC">
            <w:pPr>
              <w:pStyle w:val="ListParagraph"/>
              <w:numPr>
                <w:ilvl w:val="0"/>
                <w:numId w:val="1"/>
              </w:numPr>
            </w:pPr>
            <w:r w:rsidRPr="006209FC">
              <w:t>Activités de contrôle</w:t>
            </w:r>
          </w:p>
        </w:tc>
        <w:tc>
          <w:tcPr>
            <w:tcW w:w="3602" w:type="dxa"/>
          </w:tcPr>
          <w:p w14:paraId="58BCFA50" w14:textId="77777777" w:rsidR="006209FC" w:rsidRDefault="006209FC">
            <w:r>
              <w:t>10. S</w:t>
            </w:r>
            <w:r w:rsidRPr="006209FC">
              <w:t>élection et développement des activités de contrôle</w:t>
            </w:r>
          </w:p>
          <w:p w14:paraId="5D948D6E" w14:textId="77777777" w:rsidR="006209FC" w:rsidRDefault="006209FC">
            <w:r w:rsidRPr="006209FC">
              <w:t xml:space="preserve">  11. Contrôles généraux des systèmes d’information</w:t>
            </w:r>
          </w:p>
          <w:p w14:paraId="601D7B31" w14:textId="64DBC154" w:rsidR="00407020" w:rsidRDefault="006209FC">
            <w:r w:rsidRPr="006209FC">
              <w:t xml:space="preserve">  12. Mise en œuvre via politiques et procédures</w:t>
            </w:r>
          </w:p>
        </w:tc>
      </w:tr>
      <w:tr w:rsidR="00407020" w14:paraId="4EFE531F" w14:textId="77777777" w:rsidTr="00751B5F">
        <w:trPr>
          <w:trHeight w:val="1546"/>
        </w:trPr>
        <w:tc>
          <w:tcPr>
            <w:tcW w:w="3601" w:type="dxa"/>
          </w:tcPr>
          <w:p w14:paraId="58687713" w14:textId="72658886" w:rsidR="00407020" w:rsidRDefault="006209FC" w:rsidP="006209FC">
            <w:pPr>
              <w:pStyle w:val="ListParagraph"/>
              <w:numPr>
                <w:ilvl w:val="0"/>
                <w:numId w:val="1"/>
              </w:numPr>
            </w:pPr>
            <w:r w:rsidRPr="006209FC">
              <w:t>Information et communication</w:t>
            </w:r>
          </w:p>
        </w:tc>
        <w:tc>
          <w:tcPr>
            <w:tcW w:w="3602" w:type="dxa"/>
          </w:tcPr>
          <w:p w14:paraId="4A4DB643" w14:textId="77777777" w:rsidR="006209FC" w:rsidRDefault="006209FC">
            <w:r>
              <w:t>13. I</w:t>
            </w:r>
            <w:r w:rsidRPr="006209FC">
              <w:t xml:space="preserve">nformation pertinente et de qualité  </w:t>
            </w:r>
          </w:p>
          <w:p w14:paraId="3AACFA08" w14:textId="5FDD5D35" w:rsidR="00407020" w:rsidRDefault="006209FC">
            <w:r w:rsidRPr="006209FC">
              <w:t xml:space="preserve">14. Communication </w:t>
            </w:r>
            <w:proofErr w:type="gramStart"/>
            <w:r w:rsidRPr="006209FC">
              <w:t>interne  15</w:t>
            </w:r>
            <w:proofErr w:type="gramEnd"/>
            <w:r w:rsidRPr="006209FC">
              <w:t>. Communication externe</w:t>
            </w:r>
          </w:p>
        </w:tc>
      </w:tr>
      <w:tr w:rsidR="00407020" w14:paraId="2CE1B922" w14:textId="77777777" w:rsidTr="00751B5F">
        <w:trPr>
          <w:trHeight w:val="1546"/>
        </w:trPr>
        <w:tc>
          <w:tcPr>
            <w:tcW w:w="3601" w:type="dxa"/>
          </w:tcPr>
          <w:p w14:paraId="0DC7B191" w14:textId="12C0F150" w:rsidR="00407020" w:rsidRDefault="006209FC" w:rsidP="006209FC">
            <w:pPr>
              <w:pStyle w:val="ListParagraph"/>
              <w:numPr>
                <w:ilvl w:val="0"/>
                <w:numId w:val="1"/>
              </w:numPr>
            </w:pPr>
            <w:r w:rsidRPr="006209FC">
              <w:t>Pilotage (Monitoring)</w:t>
            </w:r>
          </w:p>
        </w:tc>
        <w:tc>
          <w:tcPr>
            <w:tcW w:w="3602" w:type="dxa"/>
          </w:tcPr>
          <w:p w14:paraId="0589C256" w14:textId="60D67620" w:rsidR="006209FC" w:rsidRDefault="006209FC">
            <w:r>
              <w:t xml:space="preserve">16. </w:t>
            </w:r>
            <w:r w:rsidRPr="006209FC">
              <w:t xml:space="preserve">Évaluations continues ou ponctuelles </w:t>
            </w:r>
          </w:p>
          <w:p w14:paraId="40F3D155" w14:textId="474D8F93" w:rsidR="00407020" w:rsidRDefault="006209FC">
            <w:r w:rsidRPr="006209FC">
              <w:t xml:space="preserve"> 17. Communication des déficiences</w:t>
            </w:r>
          </w:p>
        </w:tc>
      </w:tr>
    </w:tbl>
    <w:p w14:paraId="02AF7BC6" w14:textId="0170DFB1" w:rsidR="00902CA4" w:rsidRDefault="00902CA4"/>
    <w:p w14:paraId="62423A3A" w14:textId="21C0B45D" w:rsidR="006822C8" w:rsidRDefault="006822C8"/>
    <w:p w14:paraId="78D42B4C" w14:textId="7E8E08CD" w:rsidR="006822C8" w:rsidRDefault="006822C8"/>
    <w:p w14:paraId="29F4ACF7" w14:textId="57C18F2D" w:rsidR="006822C8" w:rsidRDefault="006822C8">
      <w:r w:rsidRPr="00751B5F">
        <w:rPr>
          <w:u w:val="single"/>
        </w:rPr>
        <w:t>REPONSE</w:t>
      </w:r>
      <w:r>
        <w:t> : Le bordereau de transmission permet de faire circuler l’information, tracer les échanges entre services. Il se situe donc dans la composante Information et Communication</w:t>
      </w:r>
      <w:r w:rsidR="00751B5F">
        <w:t xml:space="preserve"> ; le principe 14 la communication interne </w:t>
      </w:r>
    </w:p>
    <w:sectPr w:rsidR="006822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4FB9"/>
    <w:multiLevelType w:val="hybridMultilevel"/>
    <w:tmpl w:val="65025C84"/>
    <w:lvl w:ilvl="0" w:tplc="6EAC3E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922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020"/>
    <w:rsid w:val="00407020"/>
    <w:rsid w:val="006209FC"/>
    <w:rsid w:val="006822C8"/>
    <w:rsid w:val="00751B5F"/>
    <w:rsid w:val="0090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265A9"/>
  <w15:chartTrackingRefBased/>
  <w15:docId w15:val="{63439FCB-12DD-4A58-B4D5-D6CBC7278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7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0702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6209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4271E-10D7-4B24-A4F9-8001CE54A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2026-03-23T21:27:00Z</dcterms:created>
  <dcterms:modified xsi:type="dcterms:W3CDTF">2026-03-23T22:10:00Z</dcterms:modified>
</cp:coreProperties>
</file>