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00"/>
        <w:jc w:val="center"/>
      </w:pPr>
      <w:r>
        <w:rPr>
          <w:b/>
          <w:sz w:val="40"/>
        </w:rPr>
        <w:t>Corporate Strategy and Growth Report - Q1 2026</w:t>
      </w:r>
    </w:p>
    <w:p>
      <w:pPr>
        <w:spacing w:before="0" w:after="120"/>
      </w:pPr>
      <w:r>
        <w:rPr>
          <w:color w:val="000000"/>
          <w:sz w:val="22"/>
        </w:rPr>
        <w:t>To: Executive Leadership Team</w:t>
      </w:r>
    </w:p>
    <w:p>
      <w:pPr>
        <w:spacing w:before="0" w:after="120"/>
      </w:pPr>
      <w:r>
        <w:rPr>
          <w:color w:val="000000"/>
          <w:sz w:val="22"/>
        </w:rPr>
        <w:t>From: David Chen, VP of Corporate Strategy &amp; Analytics</w:t>
      </w:r>
    </w:p>
    <w:p>
      <w:pPr>
        <w:spacing w:before="0" w:after="120"/>
      </w:pPr>
      <w:r>
        <w:rPr>
          <w:color w:val="000000"/>
          <w:sz w:val="22"/>
        </w:rPr>
        <w:t>Date: January 24, 2026</w:t>
      </w:r>
    </w:p>
    <w:p>
      <w:pPr>
        <w:spacing w:before="0" w:after="120"/>
      </w:pPr>
      <w:r>
        <w:rPr>
          <w:color w:val="000000"/>
          <w:sz w:val="22"/>
        </w:rPr>
        <w:t>Subject: Corporate Strategy and Growth Report - Q1 2026 (Analysis of Q4 2025 Performance)</w:t>
      </w:r>
    </w:p>
    <w:p>
      <w:pPr>
        <w:pStyle w:val="ListBullet"/>
        <w:spacing w:before="40" w:after="40"/>
      </w:pPr>
      <w:r>
        <w:rPr>
          <w:color w:val="000000"/>
          <w:sz w:val="22"/>
        </w:rPr>
      </w:r>
    </w:p>
    <w:p>
      <w:pPr>
        <w:spacing w:before="0" w:after="120"/>
      </w:pPr>
      <w:r>
        <w:rPr>
          <w:color w:val="000000"/>
          <w:sz w:val="22"/>
        </w:rPr>
        <w:t>Executive Summary</w:t>
      </w:r>
    </w:p>
    <w:p>
      <w:pPr>
        <w:spacing w:before="0" w:after="120"/>
      </w:pPr>
      <w:r>
        <w:rPr>
          <w:color w:val="000000"/>
          <w:sz w:val="22"/>
        </w:rPr>
        <w:t>Innovatech Solutions exceeded its top-line revenue projections for Q4 2025, driven by the exceptional market adoption of our new Aether AI platform. Total revenue reached $128.5 million against a forecast of $125 million. However, net profit was slightly below target at $17.2 million (versus a projected $18.0 million) due to increased customer acquisition costs and competitive pressures in our core Enterprise Software division. The Q4 results confirm that our strategic investment in AI is our primary growth driver, necessitating a strategic review of resource allocation for 2026 to maximize momentum and protect long-term profitability.</w:t>
      </w:r>
    </w:p>
    <w:p>
      <w:pPr>
        <w:spacing w:before="0" w:after="120"/>
      </w:pPr>
      <w:r>
        <w:rPr>
          <w:color w:val="000000"/>
          <w:sz w:val="22"/>
        </w:rPr>
        <w:t>Q4 2025 Performance Analysis</w:t>
      </w:r>
    </w:p>
    <w:p>
      <w:pPr>
        <w:spacing w:before="0" w:after="120"/>
      </w:pPr>
      <w:r>
        <w:rPr>
          <w:color w:val="000000"/>
          <w:sz w:val="22"/>
        </w:rPr>
        <w:t>Overall financial performance in the final quarter of 2025 was strong, characterized by significant overperformance in our emerging technology sector, which compensated for headwinds in our established product lines.</w:t>
      </w:r>
    </w:p>
    <w:p>
      <w:pPr>
        <w:spacing w:before="0" w:after="120"/>
      </w:pPr>
      <w:r>
        <w:rPr>
          <w:color w:val="000000"/>
          <w:sz w:val="22"/>
        </w:rPr>
        <w:t>The Aether AI Platform was the standout performer. Following its full launch in Q3, the platform secured three major enterprise clients ahead of schedule in Q4, contributing $13.5 million in revenue—a 35% beat on its $10 million projection. This rapid uptake validates our market-fit hypothesis and signals a significant, first-mover advantage.</w:t>
      </w:r>
    </w:p>
    <w:p>
      <w:pPr>
        <w:spacing w:before="0" w:after="120"/>
      </w:pPr>
      <w:r>
        <w:rPr>
          <w:color w:val="000000"/>
          <w:sz w:val="22"/>
        </w:rPr>
        <w:t>Our ProWorkflow Suite (Enterprise Software) met its revenue target of $75 million but experienced notable margin compression. To maintain market share against aggressive pricing from competitor "ZenithFlow," our sales and marketing expenditure for this division was 12% over budget. While the strategy successfully defended our user base, it is not a sustainable long-term approach to profitability.</w:t>
      </w:r>
    </w:p>
    <w:p>
      <w:pPr>
        <w:spacing w:before="0" w:after="120"/>
      </w:pPr>
      <w:r>
        <w:rPr>
          <w:color w:val="000000"/>
          <w:sz w:val="22"/>
        </w:rPr>
        <w:t>The CloudSync Division (Cloud Services) performed reliably and in line with expectations, generating $40 million in revenue. This division remains a critical source of stable cash flow, with high retention rates and predictable performance.</w:t>
      </w:r>
    </w:p>
    <w:p>
      <w:pPr>
        <w:spacing w:before="0" w:after="120"/>
      </w:pPr>
      <w:r>
        <w:rPr>
          <w:color w:val="000000"/>
          <w:sz w:val="22"/>
        </w:rPr>
        <w:t>Q4 2025 Key Financial Metrics</w:t>
      </w:r>
    </w:p>
    <w:p>
      <w:pPr>
        <w:spacing w:before="0" w:after="120"/>
      </w:pPr>
      <w:r>
        <w:rPr>
          <w:color w:val="000000"/>
          <w:sz w:val="22"/>
        </w:rPr>
        <w:t>The following figures summarize our projected vs. actual performance for the quarter.</w:t>
      </w:r>
    </w:p>
    <w:p>
      <w:pPr>
        <w:pStyle w:val="ListBullet"/>
        <w:spacing w:before="40" w:after="40"/>
      </w:pPr>
      <w:r>
        <w:rPr>
          <w:color w:val="000000"/>
          <w:sz w:val="22"/>
        </w:rPr>
        <w:t>Total Revenue:</w:t>
      </w:r>
    </w:p>
    <w:p>
      <w:pPr>
        <w:pStyle w:val="ListBullet"/>
        <w:spacing w:before="40" w:after="40"/>
      </w:pPr>
      <w:r>
        <w:rPr>
          <w:color w:val="000000"/>
          <w:sz w:val="22"/>
        </w:rPr>
        <w:t>Projection: $125.0 M</w:t>
      </w:r>
    </w:p>
    <w:p>
      <w:pPr>
        <w:pStyle w:val="ListBullet"/>
        <w:spacing w:before="40" w:after="40"/>
      </w:pPr>
      <w:r>
        <w:rPr>
          <w:color w:val="000000"/>
          <w:sz w:val="22"/>
        </w:rPr>
        <w:t>Actual: $128.5 M</w:t>
      </w:r>
    </w:p>
    <w:p>
      <w:pPr>
        <w:pStyle w:val="ListBullet"/>
        <w:spacing w:before="40" w:after="40"/>
      </w:pPr>
      <w:r>
        <w:rPr>
          <w:color w:val="000000"/>
          <w:sz w:val="22"/>
        </w:rPr>
        <w:t>Variance: +2.8%</w:t>
      </w:r>
    </w:p>
    <w:p>
      <w:pPr>
        <w:pStyle w:val="ListBullet"/>
        <w:spacing w:before="40" w:after="40"/>
      </w:pPr>
      <w:r>
        <w:rPr>
          <w:color w:val="000000"/>
          <w:sz w:val="22"/>
        </w:rPr>
        <w:t>Gross Margin:</w:t>
      </w:r>
    </w:p>
    <w:p>
      <w:pPr>
        <w:pStyle w:val="ListBullet"/>
        <w:spacing w:before="40" w:after="40"/>
      </w:pPr>
      <w:r>
        <w:rPr>
          <w:color w:val="000000"/>
          <w:sz w:val="22"/>
        </w:rPr>
        <w:t>Projection: 65%</w:t>
      </w:r>
    </w:p>
    <w:p>
      <w:pPr>
        <w:pStyle w:val="ListBullet"/>
        <w:spacing w:before="40" w:after="40"/>
      </w:pPr>
      <w:r>
        <w:rPr>
          <w:color w:val="000000"/>
          <w:sz w:val="22"/>
        </w:rPr>
        <w:t>Actual: 63.5%</w:t>
      </w:r>
    </w:p>
    <w:p>
      <w:pPr>
        <w:pStyle w:val="ListBullet"/>
        <w:spacing w:before="40" w:after="40"/>
      </w:pPr>
      <w:r>
        <w:rPr>
          <w:color w:val="000000"/>
          <w:sz w:val="22"/>
        </w:rPr>
        <w:t>Variance: -1.5 pp</w:t>
      </w:r>
    </w:p>
    <w:p>
      <w:pPr>
        <w:pStyle w:val="ListBullet"/>
        <w:spacing w:before="40" w:after="40"/>
      </w:pPr>
      <w:r>
        <w:rPr>
          <w:color w:val="000000"/>
          <w:sz w:val="22"/>
        </w:rPr>
        <w:t>Net Profit:</w:t>
      </w:r>
    </w:p>
    <w:p>
      <w:pPr>
        <w:pStyle w:val="ListBullet"/>
        <w:spacing w:before="40" w:after="40"/>
      </w:pPr>
      <w:r>
        <w:rPr>
          <w:color w:val="000000"/>
          <w:sz w:val="22"/>
        </w:rPr>
        <w:t>Projection: $18.0 M</w:t>
      </w:r>
    </w:p>
    <w:p>
      <w:pPr>
        <w:pStyle w:val="ListBullet"/>
        <w:spacing w:before="40" w:after="40"/>
      </w:pPr>
      <w:r>
        <w:rPr>
          <w:color w:val="000000"/>
          <w:sz w:val="22"/>
        </w:rPr>
        <w:t>Actual: $17.2 M</w:t>
      </w:r>
    </w:p>
    <w:p>
      <w:pPr>
        <w:pStyle w:val="ListBullet"/>
        <w:spacing w:before="40" w:after="40"/>
      </w:pPr>
      <w:r>
        <w:rPr>
          <w:color w:val="000000"/>
          <w:sz w:val="22"/>
        </w:rPr>
        <w:t>Variance: -4.4%</w:t>
      </w:r>
    </w:p>
    <w:p>
      <w:pPr>
        <w:pStyle w:val="ListBullet"/>
        <w:spacing w:before="40" w:after="40"/>
      </w:pPr>
      <w:r>
        <w:rPr>
          <w:color w:val="000000"/>
          <w:sz w:val="22"/>
        </w:rPr>
        <w:t>Aether AI Revenue:</w:t>
      </w:r>
    </w:p>
    <w:p>
      <w:pPr>
        <w:pStyle w:val="ListBullet"/>
        <w:spacing w:before="40" w:after="40"/>
      </w:pPr>
      <w:r>
        <w:rPr>
          <w:color w:val="000000"/>
          <w:sz w:val="22"/>
        </w:rPr>
        <w:t>Projection: $10.0 M</w:t>
      </w:r>
    </w:p>
    <w:p>
      <w:pPr>
        <w:pStyle w:val="ListBullet"/>
        <w:spacing w:before="40" w:after="40"/>
      </w:pPr>
      <w:r>
        <w:rPr>
          <w:color w:val="000000"/>
          <w:sz w:val="22"/>
        </w:rPr>
        <w:t>Actual: $13.5 M</w:t>
      </w:r>
    </w:p>
    <w:p>
      <w:pPr>
        <w:pStyle w:val="ListBullet"/>
        <w:spacing w:before="40" w:after="40"/>
      </w:pPr>
      <w:r>
        <w:rPr>
          <w:color w:val="000000"/>
          <w:sz w:val="22"/>
        </w:rPr>
        <w:t>Variance: +35.0%</w:t>
      </w:r>
    </w:p>
    <w:p>
      <w:pPr>
        <w:spacing w:before="0" w:after="120"/>
      </w:pPr>
      <w:r>
        <w:rPr>
          <w:color w:val="000000"/>
          <w:sz w:val="22"/>
        </w:rPr>
        <w:t>Strategic Outlook and Recommendation</w:t>
      </w:r>
    </w:p>
    <w:p>
      <w:pPr>
        <w:spacing w:before="0" w:after="120"/>
      </w:pPr>
      <w:r>
        <w:rPr>
          <w:color w:val="000000"/>
          <w:sz w:val="22"/>
        </w:rPr>
        <w:t>The Q4 results present a clear strategic directive for 2026. The market has validated our investment in the Aether AI Platform more rapidly than anticipated, establishing it as the company's primary growth engine. Conversely, the ProWorkflow Suite has entered a more mature, competitive phase where growth will be driven by efficiency and product differentiation rather than aggressive marketing spend.</w:t>
      </w:r>
    </w:p>
    <w:p>
      <w:pPr>
        <w:spacing w:before="160" w:after="80"/>
        <w:jc w:val="left"/>
      </w:pPr>
      <w:r>
        <w:rPr>
          <w:b/>
          <w:color w:val="000000"/>
          <w:sz w:val="28"/>
        </w:rPr>
        <w:t>Recommendation:</w:t>
      </w:r>
    </w:p>
    <w:p>
      <w:pPr>
        <w:spacing w:before="0" w:after="120"/>
      </w:pPr>
      <w:r>
        <w:rPr>
          <w:color w:val="000000"/>
          <w:sz w:val="22"/>
        </w:rPr>
        <w:t>Based on this analysis, the Corporate Strategy team recommends a strategic reallocation of resources for H1 2026 to capitalize on current market dynamics.</w:t>
      </w:r>
    </w:p>
    <w:p>
      <w:pPr>
        <w:spacing w:before="0" w:after="120"/>
      </w:pPr>
      <w:r>
        <w:rPr>
          <w:color w:val="000000"/>
          <w:sz w:val="22"/>
        </w:rPr>
        <w:t>1.  Amplify AI Investment: Increase the H1 2026 operational budget for the Aether AI division by 15%, specifically targeting the expansion of its dedicated enterprise sales team and accelerating the R&amp;D roadmap for V2 features.</w:t>
      </w:r>
    </w:p>
    <w:p>
      <w:pPr>
        <w:spacing w:before="0" w:after="120"/>
      </w:pPr>
      <w:r>
        <w:rPr>
          <w:color w:val="000000"/>
          <w:sz w:val="22"/>
        </w:rPr>
        <w:t>2.  Optimize Core Software Spend: Maintain the current revenue targets for the ProWorkflow Suite but reduce its customer acquisition marketing budget by 10%. Reallocate these funds toward customer success initiatives and a feature-focused campaign aimed at improving retention and demonstrating superior value against competitors.</w:t>
      </w:r>
    </w:p>
    <w:p>
      <w:pPr>
        <w:spacing w:before="0" w:after="120"/>
      </w:pPr>
      <w:r>
        <w:rPr>
          <w:color w:val="000000"/>
          <w:sz w:val="22"/>
        </w:rPr>
        <w:t>This strategic pivot will enable us to fully exploit our leadership position in the emerging AI solutions market while ensuring the sustained profitability and health of our core business lines.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Strategy and Growth Report - Q1 2026</dc:title>
  <dc:subject/>
  <dc:creator>python-docx</dc:creator>
  <cp:keywords/>
  <dc:description>uuid:32f3cc0a | model:gemini-2.5-pro | template:finance_report | generated_at:2025-10-31T09:33:31.467317+00:00</dc:description>
  <cp:lastModifiedBy/>
  <cp:revision>1</cp:revision>
  <dcterms:created xsi:type="dcterms:W3CDTF">2013-12-23T23:15:00Z</dcterms:created>
  <dcterms:modified xsi:type="dcterms:W3CDTF">2013-12-23T23:15:00Z</dcterms:modified>
  <cp:category/>
</cp:coreProperties>
</file>