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Q1 Business Review</w:t>
      </w:r>
    </w:p>
    <w:p>
      <w:pPr>
        <w:pStyle w:val="Heading1"/>
      </w:pPr>
      <w:r>
        <w:t>Revenue Highlights</w:t>
      </w:r>
    </w:p>
    <w:p>
      <w:r>
        <w:t>Revenue increased 18 percent year over year driven by enterprise expansion.</w:t>
      </w:r>
    </w:p>
    <w:p>
      <w:r>
        <w:t>Gross margin improved by 3 percentage points due to infrastructure optimization.</w:t>
      </w:r>
    </w:p>
    <w:p>
      <w:pPr>
        <w:pStyle w:val="Heading1"/>
      </w:pPr>
      <w:r>
        <w:t>Next Quarter Focus</w:t>
      </w:r>
    </w:p>
    <w:p>
      <w:r>
        <w:t>Focus on customer retention, AI product packaging, and cloud cost efficiency.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