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Q1 Business Review</w:t>
      </w:r>
    </w:p>
    <w:p>
      <w:r>
        <w:t>Prepared for management review. This document contains narrative sections and tables intended to exercise the Prompt-to-PPT parser, LLM outline generation, and final PPT builder.</w:t>
      </w:r>
    </w:p>
    <w:p>
      <w:pPr>
        <w:pStyle w:val="Heading1"/>
      </w:pPr>
      <w:r>
        <w:t>Executive Snapshot</w:t>
      </w:r>
    </w:p>
    <w:p>
      <w:pPr>
        <w:pStyle w:val="ListBullet"/>
      </w:pPr>
      <w:r>
        <w:t>Q1 closed ahead of plan with stronger enterprise demand and improved renewal discipline.</w:t>
      </w:r>
    </w:p>
    <w:p>
      <w:pPr>
        <w:pStyle w:val="ListBullet"/>
      </w:pPr>
      <w:r>
        <w:t>The team should emphasize expansion revenue, customer health, and delivery focus in the generated deck.</w:t>
      </w:r>
    </w:p>
    <w:p>
      <w:pPr>
        <w:pStyle w:val="ListBullet"/>
      </w:pPr>
      <w:r>
        <w:t>The primary decision is whether to increase Q2 investment in onboarding capacity and partner enablement.</w:t>
      </w:r>
    </w:p>
    <w:p>
      <w:pPr>
        <w:pStyle w:val="Heading1"/>
      </w:pPr>
      <w:r>
        <w:t>Revenue Performance</w:t>
      </w:r>
    </w:p>
    <w:p>
      <w:pPr>
        <w:pStyle w:val="ListBullet"/>
      </w:pPr>
      <w:r>
        <w:t>Total revenue reached 18.4M, up 16 percent quarter over quarter and 9 percent above plan.</w:t>
      </w:r>
    </w:p>
    <w:p>
      <w:pPr>
        <w:pStyle w:val="ListBullet"/>
      </w:pPr>
      <w:r>
        <w:t>Enterprise ARR contributed the majority of growth, with financial services and manufacturing outperforming forecast.</w:t>
      </w:r>
    </w:p>
    <w:p>
      <w:pPr>
        <w:pStyle w:val="ListBullet"/>
      </w:pPr>
      <w:r>
        <w:t>Services revenue was stable, but margin improved after tighter project scoping and lower subcontractor dependency.</w:t>
      </w:r>
    </w:p>
    <w:p>
      <w:pPr>
        <w:pStyle w:val="Heading1"/>
      </w:pPr>
      <w:r>
        <w:t>Customer Adoption</w:t>
      </w:r>
    </w:p>
    <w:p>
      <w:pPr>
        <w:pStyle w:val="ListBullet"/>
      </w:pPr>
      <w:r>
        <w:t>Active enterprise accounts grew from 42 to 51, while weekly active users increased 28 percent.</w:t>
      </w:r>
    </w:p>
    <w:p>
      <w:pPr>
        <w:pStyle w:val="ListBullet"/>
      </w:pPr>
      <w:r>
        <w:t>The strongest adoption signal came from workflow automation features and analytics exports.</w:t>
      </w:r>
    </w:p>
    <w:p>
      <w:pPr>
        <w:pStyle w:val="ListBullet"/>
      </w:pPr>
      <w:r>
        <w:t>Three strategic accounts remain at risk because onboarding milestones slipped by more than two weeks.</w:t>
      </w:r>
    </w:p>
    <w:p>
      <w:pPr>
        <w:pStyle w:val="Heading1"/>
      </w:pPr>
      <w:r>
        <w:t>Product Delivery</w:t>
      </w:r>
    </w:p>
    <w:p>
      <w:pPr>
        <w:pStyle w:val="ListBullet"/>
      </w:pPr>
      <w:r>
        <w:t>The product team shipped the analytics dashboard, workspace templates, and security audit trail in Q1.</w:t>
      </w:r>
    </w:p>
    <w:p>
      <w:pPr>
        <w:pStyle w:val="ListBullet"/>
      </w:pPr>
      <w:r>
        <w:t>The roadmap is on track for API governance, improved admin controls, and workflow recommendations in Q2.</w:t>
      </w:r>
    </w:p>
    <w:p>
      <w:pPr>
        <w:pStyle w:val="ListBullet"/>
      </w:pPr>
      <w:r>
        <w:t>Platform reliability improved with median API latency down 19 percent and incident count down from 7 to 3.</w:t>
      </w:r>
    </w:p>
    <w:p>
      <w:pPr>
        <w:pStyle w:val="Heading1"/>
      </w:pPr>
      <w:r>
        <w:t>Risks and Mitigations</w:t>
      </w:r>
    </w:p>
    <w:p>
      <w:pPr>
        <w:pStyle w:val="ListBullet"/>
      </w:pPr>
      <w:r>
        <w:t>Implementation capacity is the largest near-term risk as enterprise onboarding volume increases.</w:t>
      </w:r>
    </w:p>
    <w:p>
      <w:pPr>
        <w:pStyle w:val="ListBullet"/>
      </w:pPr>
      <w:r>
        <w:t>Data quality remains uneven across customer imports, which can slow time-to-value for complex deployments.</w:t>
      </w:r>
    </w:p>
    <w:p>
      <w:pPr>
        <w:pStyle w:val="ListBullet"/>
      </w:pPr>
      <w:r>
        <w:t>Mitigation plan: add two onboarding specialists, publish stricter import validation, and expand partner training.</w:t>
      </w:r>
    </w:p>
    <w:p>
      <w:pPr>
        <w:pStyle w:val="Heading1"/>
      </w:pPr>
      <w:r>
        <w:t>Q2 Recommendations</w:t>
      </w:r>
    </w:p>
    <w:p>
      <w:pPr>
        <w:pStyle w:val="ListBullet"/>
      </w:pPr>
      <w:r>
        <w:t>Increase customer success capacity for strategic accounts before pipeline conversion peaks in May.</w:t>
      </w:r>
    </w:p>
    <w:p>
      <w:pPr>
        <w:pStyle w:val="ListBullet"/>
      </w:pPr>
      <w:r>
        <w:t>Prioritize automation analytics and admin controls because they are tied to expansion opportunities.</w:t>
      </w:r>
    </w:p>
    <w:p>
      <w:pPr>
        <w:pStyle w:val="ListBullet"/>
      </w:pPr>
      <w:r>
        <w:t>Create a weekly executive operating review around renewal risk, onboarding milestones, and product adoption.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Q4 Actual</w:t>
            </w:r>
          </w:p>
        </w:tc>
        <w:tc>
          <w:tcPr>
            <w:tcW w:type="dxa" w:w="2160"/>
          </w:tcPr>
          <w:p>
            <w:r>
              <w:t>Q1 Actual</w:t>
            </w:r>
          </w:p>
        </w:tc>
        <w:tc>
          <w:tcPr>
            <w:tcW w:type="dxa" w:w="2160"/>
          </w:tcPr>
          <w:p>
            <w:r>
              <w:t>Q1 Plan</w:t>
            </w:r>
          </w:p>
        </w:tc>
      </w:tr>
      <w:tr>
        <w:tc>
          <w:tcPr>
            <w:tcW w:type="dxa" w:w="2160"/>
          </w:tcPr>
          <w:p>
            <w:r>
              <w:t>Revenue</w:t>
            </w:r>
          </w:p>
        </w:tc>
        <w:tc>
          <w:tcPr>
            <w:tcW w:type="dxa" w:w="2160"/>
          </w:tcPr>
          <w:p>
            <w:r>
              <w:t>15.9M</w:t>
            </w:r>
          </w:p>
        </w:tc>
        <w:tc>
          <w:tcPr>
            <w:tcW w:type="dxa" w:w="2160"/>
          </w:tcPr>
          <w:p>
            <w:r>
              <w:t>18.4M</w:t>
            </w:r>
          </w:p>
        </w:tc>
        <w:tc>
          <w:tcPr>
            <w:tcW w:type="dxa" w:w="2160"/>
          </w:tcPr>
          <w:p>
            <w:r>
              <w:t>16.9M</w:t>
            </w:r>
          </w:p>
        </w:tc>
      </w:tr>
      <w:tr>
        <w:tc>
          <w:tcPr>
            <w:tcW w:type="dxa" w:w="2160"/>
          </w:tcPr>
          <w:p>
            <w:r>
              <w:t>Gross Margin</w:t>
            </w:r>
          </w:p>
        </w:tc>
        <w:tc>
          <w:tcPr>
            <w:tcW w:type="dxa" w:w="2160"/>
          </w:tcPr>
          <w:p>
            <w:r>
              <w:t>63%</w:t>
            </w:r>
          </w:p>
        </w:tc>
        <w:tc>
          <w:tcPr>
            <w:tcW w:type="dxa" w:w="2160"/>
          </w:tcPr>
          <w:p>
            <w:r>
              <w:t>67%</w:t>
            </w:r>
          </w:p>
        </w:tc>
        <w:tc>
          <w:tcPr>
            <w:tcW w:type="dxa" w:w="2160"/>
          </w:tcPr>
          <w:p>
            <w:r>
              <w:t>65%</w:t>
            </w:r>
          </w:p>
        </w:tc>
      </w:tr>
      <w:tr>
        <w:tc>
          <w:tcPr>
            <w:tcW w:type="dxa" w:w="2160"/>
          </w:tcPr>
          <w:p>
            <w:r>
              <w:t>Net Revenue Retention</w:t>
            </w:r>
          </w:p>
        </w:tc>
        <w:tc>
          <w:tcPr>
            <w:tcW w:type="dxa" w:w="2160"/>
          </w:tcPr>
          <w:p>
            <w:r>
              <w:t>112%</w:t>
            </w:r>
          </w:p>
        </w:tc>
        <w:tc>
          <w:tcPr>
            <w:tcW w:type="dxa" w:w="2160"/>
          </w:tcPr>
          <w:p>
            <w:r>
              <w:t>119%</w:t>
            </w:r>
          </w:p>
        </w:tc>
        <w:tc>
          <w:tcPr>
            <w:tcW w:type="dxa" w:w="2160"/>
          </w:tcPr>
          <w:p>
            <w:r>
              <w:t>115%</w:t>
            </w:r>
          </w:p>
        </w:tc>
      </w:tr>
      <w:tr>
        <w:tc>
          <w:tcPr>
            <w:tcW w:type="dxa" w:w="2160"/>
          </w:tcPr>
          <w:p>
            <w:r>
              <w:t>Enterprise Accounts</w:t>
            </w:r>
          </w:p>
        </w:tc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>
            <w:r>
              <w:t>51</w:t>
            </w:r>
          </w:p>
        </w:tc>
        <w:tc>
          <w:tcPr>
            <w:tcW w:type="dxa" w:w="2160"/>
          </w:tcPr>
          <w:p>
            <w:r>
              <w:t>48</w:t>
            </w:r>
          </w:p>
        </w:tc>
      </w:tr>
    </w:tbl>
    <w:p>
      <w:pPr>
        <w:pStyle w:val="Heading1"/>
      </w:pPr>
      <w:r>
        <w:t>Initiative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Initiative</w:t>
            </w:r>
          </w:p>
        </w:tc>
        <w:tc>
          <w:tcPr>
            <w:tcW w:type="dxa" w:w="2160"/>
          </w:tcPr>
          <w:p>
            <w:r>
              <w:t>Owner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Q2 Focus</w:t>
            </w:r>
          </w:p>
        </w:tc>
      </w:tr>
      <w:tr>
        <w:tc>
          <w:tcPr>
            <w:tcW w:type="dxa" w:w="2160"/>
          </w:tcPr>
          <w:p>
            <w:r>
              <w:t>Enterprise onboarding scale-up</w:t>
            </w:r>
          </w:p>
        </w:tc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At risk</w:t>
            </w:r>
          </w:p>
        </w:tc>
        <w:tc>
          <w:tcPr>
            <w:tcW w:type="dxa" w:w="2160"/>
          </w:tcPr>
          <w:p>
            <w:r>
              <w:t>Hire and certify specialists</w:t>
            </w:r>
          </w:p>
        </w:tc>
      </w:tr>
      <w:tr>
        <w:tc>
          <w:tcPr>
            <w:tcW w:type="dxa" w:w="2160"/>
          </w:tcPr>
          <w:p>
            <w:r>
              <w:t>Analytics dashboard adoption</w:t>
            </w:r>
          </w:p>
        </w:tc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On track</w:t>
            </w:r>
          </w:p>
        </w:tc>
        <w:tc>
          <w:tcPr>
            <w:tcW w:type="dxa" w:w="2160"/>
          </w:tcPr>
          <w:p>
            <w:r>
              <w:t>Drive usage in top 20 accounts</w:t>
            </w:r>
          </w:p>
        </w:tc>
      </w:tr>
      <w:tr>
        <w:tc>
          <w:tcPr>
            <w:tcW w:type="dxa" w:w="2160"/>
          </w:tcPr>
          <w:p>
            <w:r>
              <w:t>Partner enablement</w:t>
            </w:r>
          </w:p>
        </w:tc>
        <w:tc>
          <w:tcPr>
            <w:tcW w:type="dxa" w:w="2160"/>
          </w:tcPr>
          <w:p>
            <w:r>
              <w:t>Revenue</w:t>
            </w:r>
          </w:p>
        </w:tc>
        <w:tc>
          <w:tcPr>
            <w:tcW w:type="dxa" w:w="2160"/>
          </w:tcPr>
          <w:p>
            <w:r>
              <w:t>Needs focus</w:t>
            </w:r>
          </w:p>
        </w:tc>
        <w:tc>
          <w:tcPr>
            <w:tcW w:type="dxa" w:w="2160"/>
          </w:tcPr>
          <w:p>
            <w:r>
              <w:t>Launch enablement kit</w:t>
            </w:r>
          </w:p>
        </w:tc>
      </w:tr>
      <w:tr>
        <w:tc>
          <w:tcPr>
            <w:tcW w:type="dxa" w:w="2160"/>
          </w:tcPr>
          <w:p>
            <w:r>
              <w:t>Data import quality</w:t>
            </w:r>
          </w:p>
        </w:tc>
        <w:tc>
          <w:tcPr>
            <w:tcW w:type="dxa" w:w="2160"/>
          </w:tcPr>
          <w:p>
            <w:r>
              <w:t>Platform</w:t>
            </w:r>
          </w:p>
        </w:tc>
        <w:tc>
          <w:tcPr>
            <w:tcW w:type="dxa" w:w="2160"/>
          </w:tcPr>
          <w:p>
            <w:r>
              <w:t>On track</w:t>
            </w:r>
          </w:p>
        </w:tc>
        <w:tc>
          <w:tcPr>
            <w:tcW w:type="dxa" w:w="2160"/>
          </w:tcPr>
          <w:p>
            <w:r>
              <w:t>Add validation rules</w:t>
            </w:r>
          </w:p>
        </w:tc>
      </w:tr>
    </w:tbl>
    <w:p>
      <w:r>
        <w:t>End of sample source document.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