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Q2 2026 Business Review Source Brief</w:t>
      </w:r>
    </w:p>
    <w:p>
      <w:pPr>
        <w:jc w:val="center"/>
      </w:pPr>
      <w:r>
        <w:t>Prepared for Board of Directors | July 2026 | Source content for Prompt-to-PPT transformation test</w:t>
      </w:r>
    </w:p>
    <w:p>
      <w:pPr>
        <w:pStyle w:val="Heading1"/>
      </w:pPr>
      <w:r>
        <w:t>Executive Summary</w:t>
      </w:r>
    </w:p>
    <w:p>
      <w:r>
        <w:t>Q2 closed materially ahead of the Q1 baseline. Revenue reached $15.8M, representing 27% quarter-over-quarter growth. Gross margin expanded to 72% as enterprise mix improved and cloud optimization efforts reduced unit cost.</w:t>
      </w:r>
    </w:p>
    <w:p>
      <w:r>
        <w:t>The management narrative should shift from Q1 efficiency recovery to Q2 durable enterprise acceleration. The board should see a clear upgrade in revenue quality, customer expansion, and pipeline confidence.</w:t>
      </w:r>
    </w:p>
    <w:p>
      <w:r>
        <w:t>Primary decision request: approve a targeted $650K investment in enterprise implementation capacity and customer success coverage while keeping brand spend gated by conversion evidence.</w:t>
      </w:r>
    </w:p>
    <w:p>
      <w:pPr>
        <w:pStyle w:val="Heading1"/>
      </w:pPr>
      <w:r>
        <w:t>Q2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</w:rPr>
              <w:t>Q1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Q2 Actual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Management Read</w:t>
            </w:r>
          </w:p>
        </w:tc>
      </w:tr>
      <w:tr>
        <w:tc>
          <w:tcPr>
            <w:tcW w:type="dxa" w:w="2520"/>
          </w:tcPr>
          <w:p>
            <w:r>
              <w:t>Revenue</w:t>
            </w:r>
          </w:p>
        </w:tc>
        <w:tc>
          <w:tcPr>
            <w:tcW w:type="dxa" w:w="2520"/>
          </w:tcPr>
          <w:p>
            <w:r>
              <w:t>$12.4M</w:t>
            </w:r>
          </w:p>
        </w:tc>
        <w:tc>
          <w:tcPr>
            <w:tcW w:type="dxa" w:w="2520"/>
          </w:tcPr>
          <w:p>
            <w:r>
              <w:t>$15.8M</w:t>
            </w:r>
          </w:p>
        </w:tc>
        <w:tc>
          <w:tcPr>
            <w:tcW w:type="dxa" w:w="2520"/>
          </w:tcPr>
          <w:p>
            <w:r>
              <w:t>Beat base plan by $1.1M and grew 27% QoQ</w:t>
            </w:r>
          </w:p>
        </w:tc>
      </w:tr>
      <w:tr>
        <w:tc>
          <w:tcPr>
            <w:tcW w:type="dxa" w:w="2520"/>
          </w:tcPr>
          <w:p>
            <w:r>
              <w:t>Gross Margin</w:t>
            </w:r>
          </w:p>
        </w:tc>
        <w:tc>
          <w:tcPr>
            <w:tcW w:type="dxa" w:w="2520"/>
          </w:tcPr>
          <w:p>
            <w:r>
              <w:t>64%</w:t>
            </w:r>
          </w:p>
        </w:tc>
        <w:tc>
          <w:tcPr>
            <w:tcW w:type="dxa" w:w="2520"/>
          </w:tcPr>
          <w:p>
            <w:r>
              <w:t>72%</w:t>
            </w:r>
          </w:p>
        </w:tc>
        <w:tc>
          <w:tcPr>
            <w:tcW w:type="dxa" w:w="2520"/>
          </w:tcPr>
          <w:p>
            <w:r>
              <w:t>Enterprise mix and AI cost controls improved margin</w:t>
            </w:r>
          </w:p>
        </w:tc>
      </w:tr>
      <w:tr>
        <w:tc>
          <w:tcPr>
            <w:tcW w:type="dxa" w:w="2520"/>
          </w:tcPr>
          <w:p>
            <w:r>
              <w:t>Net Revenue Retention</w:t>
            </w:r>
          </w:p>
        </w:tc>
        <w:tc>
          <w:tcPr>
            <w:tcW w:type="dxa" w:w="2520"/>
          </w:tcPr>
          <w:p>
            <w:r>
              <w:t>111%</w:t>
            </w:r>
          </w:p>
        </w:tc>
        <w:tc>
          <w:tcPr>
            <w:tcW w:type="dxa" w:w="2520"/>
          </w:tcPr>
          <w:p>
            <w:r>
              <w:t>118%</w:t>
            </w:r>
          </w:p>
        </w:tc>
        <w:tc>
          <w:tcPr>
            <w:tcW w:type="dxa" w:w="2520"/>
          </w:tcPr>
          <w:p>
            <w:r>
              <w:t>Expansion motion strengthened in top accounts</w:t>
            </w:r>
          </w:p>
        </w:tc>
      </w:tr>
      <w:tr>
        <w:tc>
          <w:tcPr>
            <w:tcW w:type="dxa" w:w="2520"/>
          </w:tcPr>
          <w:p>
            <w:r>
              <w:t>Pipeline Coverage</w:t>
            </w:r>
          </w:p>
        </w:tc>
        <w:tc>
          <w:tcPr>
            <w:tcW w:type="dxa" w:w="2520"/>
          </w:tcPr>
          <w:p>
            <w:r>
              <w:t>2.8x</w:t>
            </w:r>
          </w:p>
        </w:tc>
        <w:tc>
          <w:tcPr>
            <w:tcW w:type="dxa" w:w="2520"/>
          </w:tcPr>
          <w:p>
            <w:r>
              <w:t>3.6x</w:t>
            </w:r>
          </w:p>
        </w:tc>
        <w:tc>
          <w:tcPr>
            <w:tcW w:type="dxa" w:w="2520"/>
          </w:tcPr>
          <w:p>
            <w:r>
              <w:t>Q3 coverage is healthier than Q2 entry point</w:t>
            </w:r>
          </w:p>
        </w:tc>
      </w:tr>
      <w:tr>
        <w:tc>
          <w:tcPr>
            <w:tcW w:type="dxa" w:w="2520"/>
          </w:tcPr>
          <w:p>
            <w:r>
              <w:t>SMB Monthly Churn</w:t>
            </w:r>
          </w:p>
        </w:tc>
        <w:tc>
          <w:tcPr>
            <w:tcW w:type="dxa" w:w="2520"/>
          </w:tcPr>
          <w:p>
            <w:r>
              <w:t>3.1%</w:t>
            </w:r>
          </w:p>
        </w:tc>
        <w:tc>
          <w:tcPr>
            <w:tcW w:type="dxa" w:w="2520"/>
          </w:tcPr>
          <w:p>
            <w:r>
              <w:t>2.4%</w:t>
            </w:r>
          </w:p>
        </w:tc>
        <w:tc>
          <w:tcPr>
            <w:tcW w:type="dxa" w:w="2520"/>
          </w:tcPr>
          <w:p>
            <w:r>
              <w:t>Onboarding redesign is beginning to reduce churn</w:t>
            </w:r>
          </w:p>
        </w:tc>
      </w:tr>
    </w:tbl>
    <w:p/>
    <w:p>
      <w:pPr>
        <w:pStyle w:val="Heading1"/>
      </w:pPr>
      <w:r>
        <w:t>Revenue Trend and Forecast</w:t>
      </w:r>
    </w:p>
    <w:p>
      <w:r>
        <w:t>Monthly revenue increased from $4.8M in April to $5.6M in June. The quarter was not dependent on one large transaction: the top three expansion deals represented 31% of incremental ARR versus 46% in Q1.</w:t>
      </w:r>
    </w:p>
    <w:p>
      <w:r>
        <w:t>Q3 forecast is $17.2M base case and $18.4M upside case. Upside depends on healthcare pipeline conversion and one strategic fintech renewal. Downside risk is implementation capacity, not demand generation.</w:t>
      </w:r>
    </w:p>
    <w:p>
      <w:pPr>
        <w:pStyle w:val="Heading1"/>
      </w:pPr>
      <w:r>
        <w:t>Segment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Q2 Revenue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QoQ Growth</w:t>
            </w:r>
          </w:p>
        </w:tc>
        <w:tc>
          <w:tcPr>
            <w:tcW w:type="dxa" w:w="2016"/>
          </w:tcPr>
          <w:p>
            <w:r>
              <w:rPr>
                <w:b/>
              </w:rPr>
              <w:t>Gross Margin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Board Message</w:t>
            </w:r>
          </w:p>
        </w:tc>
      </w:tr>
      <w:tr>
        <w:tc>
          <w:tcPr>
            <w:tcW w:type="dxa" w:w="2016"/>
          </w:tcPr>
          <w:p>
            <w:r>
              <w:t>Enterprise</w:t>
            </w:r>
          </w:p>
        </w:tc>
        <w:tc>
          <w:tcPr>
            <w:tcW w:type="dxa" w:w="2016"/>
          </w:tcPr>
          <w:p>
            <w:r>
              <w:t>$8.9M</w:t>
            </w:r>
          </w:p>
        </w:tc>
        <w:tc>
          <w:tcPr>
            <w:tcW w:type="dxa" w:w="2016"/>
          </w:tcPr>
          <w:p>
            <w:r>
              <w:t>+31%</w:t>
            </w:r>
          </w:p>
        </w:tc>
        <w:tc>
          <w:tcPr>
            <w:tcW w:type="dxa" w:w="2016"/>
          </w:tcPr>
          <w:p>
            <w:r>
              <w:t>76%</w:t>
            </w:r>
          </w:p>
        </w:tc>
        <w:tc>
          <w:tcPr>
            <w:tcW w:type="dxa" w:w="2016"/>
          </w:tcPr>
          <w:p>
            <w:r>
              <w:t>Best-quality growth engine; capacity is the constraint</w:t>
            </w:r>
          </w:p>
        </w:tc>
      </w:tr>
      <w:tr>
        <w:tc>
          <w:tcPr>
            <w:tcW w:type="dxa" w:w="2016"/>
          </w:tcPr>
          <w:p>
            <w:r>
              <w:t>Mid-market</w:t>
            </w:r>
          </w:p>
        </w:tc>
        <w:tc>
          <w:tcPr>
            <w:tcW w:type="dxa" w:w="2016"/>
          </w:tcPr>
          <w:p>
            <w:r>
              <w:t>$4.4M</w:t>
            </w:r>
          </w:p>
        </w:tc>
        <w:tc>
          <w:tcPr>
            <w:tcW w:type="dxa" w:w="2016"/>
          </w:tcPr>
          <w:p>
            <w:r>
              <w:t>+19%</w:t>
            </w:r>
          </w:p>
        </w:tc>
        <w:tc>
          <w:tcPr>
            <w:tcW w:type="dxa" w:w="2016"/>
          </w:tcPr>
          <w:p>
            <w:r>
              <w:t>68%</w:t>
            </w:r>
          </w:p>
        </w:tc>
        <w:tc>
          <w:tcPr>
            <w:tcW w:type="dxa" w:w="2016"/>
          </w:tcPr>
          <w:p>
            <w:r>
              <w:t>Stable growth with improved sales efficiency</w:t>
            </w:r>
          </w:p>
        </w:tc>
      </w:tr>
      <w:tr>
        <w:tc>
          <w:tcPr>
            <w:tcW w:type="dxa" w:w="2016"/>
          </w:tcPr>
          <w:p>
            <w:r>
              <w:t>SMB</w:t>
            </w:r>
          </w:p>
        </w:tc>
        <w:tc>
          <w:tcPr>
            <w:tcW w:type="dxa" w:w="2016"/>
          </w:tcPr>
          <w:p>
            <w:r>
              <w:t>$2.5M</w:t>
            </w:r>
          </w:p>
        </w:tc>
        <w:tc>
          <w:tcPr>
            <w:tcW w:type="dxa" w:w="2016"/>
          </w:tcPr>
          <w:p>
            <w:r>
              <w:t>+32%</w:t>
            </w:r>
          </w:p>
        </w:tc>
        <w:tc>
          <w:tcPr>
            <w:tcW w:type="dxa" w:w="2016"/>
          </w:tcPr>
          <w:p>
            <w:r>
              <w:t>56%</w:t>
            </w:r>
          </w:p>
        </w:tc>
        <w:tc>
          <w:tcPr>
            <w:tcW w:type="dxa" w:w="2016"/>
          </w:tcPr>
          <w:p>
            <w:r>
              <w:t>Churn improved but support burden remains watch item</w:t>
            </w:r>
          </w:p>
        </w:tc>
      </w:tr>
      <w:tr>
        <w:tc>
          <w:tcPr>
            <w:tcW w:type="dxa" w:w="2016"/>
          </w:tcPr>
          <w:p>
            <w:r>
              <w:t>Total</w:t>
            </w:r>
          </w:p>
        </w:tc>
        <w:tc>
          <w:tcPr>
            <w:tcW w:type="dxa" w:w="2016"/>
          </w:tcPr>
          <w:p>
            <w:r>
              <w:t>$15.8M</w:t>
            </w:r>
          </w:p>
        </w:tc>
        <w:tc>
          <w:tcPr>
            <w:tcW w:type="dxa" w:w="2016"/>
          </w:tcPr>
          <w:p>
            <w:r>
              <w:t>+27%</w:t>
            </w:r>
          </w:p>
        </w:tc>
        <w:tc>
          <w:tcPr>
            <w:tcW w:type="dxa" w:w="2016"/>
          </w:tcPr>
          <w:p>
            <w:r>
              <w:t>72%</w:t>
            </w:r>
          </w:p>
        </w:tc>
        <w:tc>
          <w:tcPr>
            <w:tcW w:type="dxa" w:w="2016"/>
          </w:tcPr>
          <w:p>
            <w:r>
              <w:t>Mix shift supports both growth and margin expansion</w:t>
            </w:r>
          </w:p>
        </w:tc>
      </w:tr>
    </w:tbl>
    <w:p/>
    <w:p>
      <w:pPr>
        <w:pStyle w:val="Heading1"/>
      </w:pPr>
      <w:r>
        <w:t>Customer and Pipeline Health</w:t>
      </w:r>
    </w:p>
    <w:p>
      <w:r>
        <w:t>Logo pipeline expanded to $57M qualified value, up from $42M at the end of Q1. Enterprise stage-3 conversion improved from 29% to 37% after solution-engineering coverage increased.</w:t>
      </w:r>
    </w:p>
    <w:p>
      <w:r>
        <w:t>Customer health is trending positive. Net revenue retention improved to 118%, gross logo retention reached 94%, and the number of accounts above $250K ARR increased from 18 to 24.</w:t>
      </w:r>
    </w:p>
    <w:p>
      <w:pPr>
        <w:pStyle w:val="Heading1"/>
      </w:pPr>
      <w:r>
        <w:t>Risks and Mitigations</w:t>
      </w:r>
    </w:p>
    <w:p>
      <w:r>
        <w:t>Implementation capacity is now the largest operating risk. If late-stage healthcare and fintech opportunities convert, current delivery staffing may create onboarding delays in September.</w:t>
      </w:r>
    </w:p>
    <w:p>
      <w:r>
        <w:t>SMB churn improved but remains sensitive to product activation time. Management will continue onboarding experiments and will pause additional self-serve acquisition spend if churn rises above 2.6%.</w:t>
      </w:r>
    </w:p>
    <w:p>
      <w:r>
        <w:t>AI infrastructure cost is within the approved envelope after model-routing optimization. The team recommends keeping usage guardrails active until customer-level profitability dashboards are complete.</w:t>
      </w:r>
    </w:p>
    <w:p>
      <w:pPr>
        <w:pStyle w:val="Heading1"/>
      </w:pPr>
      <w:r>
        <w:t>Q3 Priorities and Decision Requests</w:t>
      </w:r>
    </w:p>
    <w:p>
      <w:r>
        <w:t>Priority 1: convert enterprise late-stage pipeline without stretching implementation quality. Priority 2: sustain gross margin above 70%. Priority 3: reduce SMB activation time below 6 days. Priority 4: operationalize account health scoring for customer success.</w:t>
      </w:r>
    </w:p>
    <w:p>
      <w:r>
        <w:t>Board approval requested: $650K for enterprise implementation and customer success capacity, conditional release of $300K brand spend after two consecutive months of stage-3 conversion above 35%, and approval to expand AI infrastructure budget by up to $180K if tied to signed enterprise deployments.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0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0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0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