
<file path=[Content_Types].xml><?xml version="1.0" encoding="UTF-8"?><Types xmlns="http://schemas.openxmlformats.org/package/2006/content-types"><Default ContentType="image/png" Extension="png"/><Default ContentType="image/jpeg" Extension="jpeg"/><Default ContentType="image/jpeg" Extension="jpg"/><Default ContentType="image/bmp" Extension="bmp"/><Default ContentType="image/gif" Extension="gif"/><Default ContentType="image/svg+xml" Extension="svg"/><Default ContentType="application/vnd.openxmlformats-package.relationships+xml" Extension="rels"/><Default ContentType="application/xml" Extension="xml"/><Default ContentType="application/vnd.openxmlformats-officedocument.obfuscatedFont" Extension="odttf"/><Override ContentType="application/vnd.openxmlformats-officedocument.wordprocessingml.document.main+xml" PartName="/word/document.xml"/><Override ContentType="application/vnd.openxmlformats-officedocument.wordprocessingml.styles+xml" PartName="/word/styles.xml"/><Override ContentType="application/vnd.openxmlformats-package.core-properties+xml" PartName="/docProps/core.xml"/><Override ContentType="application/vnd.openxmlformats-officedocument.custom-properties+xml" PartName="/docProps/custom.xml"/><Override ContentType="application/vnd.openxmlformats-officedocument.extended-properties+xml" PartName="/docProps/app.xml"/><Override ContentType="application/vnd.openxmlformats-officedocument.wordprocessingml.numbering+xml" PartName="/word/numbering.xml"/><Override ContentType="application/vnd.openxmlformats-officedocument.wordprocessingml.footnotes+xml" PartName="/word/footnotes.xml"/><Override ContentType="application/vnd.openxmlformats-officedocument.wordprocessingml.settings+xml" PartName="/word/settings.xml"/><Override ContentType="application/vnd.openxmlformats-officedocument.wordprocessingml.comments+xml" PartName="/word/comments.xml"/><Override ContentType="application/vnd.openxmlformats-officedocument.wordprocessingml.fontTable+xml" PartName="/word/fontTable.xml"/><Override ContentType="application/vnd.openxmlformats-officedocument.wordprocessingml.header+xml" PartName="/word/header1.xml"/><Override ContentType="application/vnd.openxmlformats-officedocument.wordprocessingml.footer+xml" PartName="/word/footer1.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http://schemas.openxmlformats.org/drawingml/2006/main" mc: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II-1: Marche et concurrence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II-2: Outils de travail utilises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II-3: Langages et technologies utilises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KYA (Keur Ya Aicha) est un projet de plateforme de gestion locative multi-roles, concu pour digitaliser et centraliser les activites de gestion immobiliere : clients/locataires, contrats, loyers, depots, paiements, relances et documents.</w:t>
      </w:r>
    </w:p>
    <w:p>
      <w:pPr>
        <w:spacing w:before="80" w:after="120" w:line="290"/>
        <w:jc w:val="both"/>
      </w:pPr>
      <w:r>
        <w:rPr>
          <w:rFonts w:ascii="Arial" w:cs="Arial" w:eastAsia="Arial" w:hAnsi="Arial"/>
          <w:b w:val="false"/>
          <w:bCs w:val="false"/>
          <w:i w:val="false"/>
          <w:iCs w:val="false"/>
          <w:color w:val="333333"/>
          <w:sz w:val="22"/>
          <w:szCs w:val="22"/>
        </w:rPr>
        <w:t xml:space="preserve">L'objectif principal est de fiabiliser le suivi des operations locatives, de reduire les erreurs de saisie et d'ameliorer la transparence, tout en renforcant la securite (RBAC) et la tracabilite (audit).</w:t>
      </w:r>
    </w:p>
    <w:p>
      <w:pPr>
        <w:spacing w:before="80" w:after="120" w:line="290"/>
        <w:jc w:val="both"/>
      </w:pPr>
      <w:r>
        <w:rPr>
          <w:rFonts w:ascii="Arial" w:cs="Arial" w:eastAsia="Arial" w:hAnsi="Arial"/>
          <w:b w:val="false"/>
          <w:bCs w:val="false"/>
          <w:i w:val="false"/>
          <w:iCs w:val="false"/>
          <w:color w:val="333333"/>
          <w:sz w:val="22"/>
          <w:szCs w:val="22"/>
        </w:rPr>
        <w:t xml:space="preserve">La solution s'articule autour de trois axes principaux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Centralisation des donnees et gestion documentaire (dossiers, pieces, contrats).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Workflow multi-roles (Super Admin / Admin) avec isolation des donnees et controles d'acces.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Pilotage et tracabilite (journal d'audit, historiques, reporting et indicateurs).</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de gestion locative multi-roles qui centralise les donnees, automatise le suivi, securise les acces et renforce la tracabilite des operations ?"</w:t>
            </w:r>
          </w:p>
        </w:tc>
      </w:tr>
    </w:tbl>
    <w:p>
      <w:pPr>
        <w:spacing w:before="0" w:after="120"/>
      </w:pPr>
      <w:r>
        <w:t xml:space="preserve"/>
      </w:r>
    </w:p>
    <w:p>
      <w:pPr>
        <w:pStyle w:val="Heading3"/>
        <w:spacing w:before="200" w:after="100"/>
      </w:pPr>
      <w:r>
        <w:rPr>
          <w:rFonts w:ascii="Arial" w:cs="Arial" w:eastAsia="Arial" w:hAnsi="Arial"/>
          <w:b/>
          <w:bCs/>
          <w:color w:val="2196F3"/>
          <w:sz w:val="24"/>
          <w:szCs w:val="24"/>
        </w:rPr>
        <w:t xml:space="preserve">II.2.1. Contexte</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reste encore largement manuelle (Excel, cahiers de gestion, echanges via WhatsApp).</w:t>
      </w:r>
    </w:p>
    <w:p>
      <w:pPr>
        <w:spacing w:before="80" w:after="120" w:line="290"/>
        <w:jc w:val="both"/>
      </w:pPr>
      <w:r>
        <w:rPr>
          <w:rFonts w:ascii="Arial" w:cs="Arial" w:eastAsia="Arial" w:hAnsi="Arial"/>
          <w:b w:val="false"/>
          <w:bCs w:val="false"/>
          <w:i w:val="false"/>
          <w:iCs w:val="false"/>
          <w:color w:val="333333"/>
          <w:sz w:val="22"/>
          <w:szCs w:val="22"/>
        </w:rPr>
        <w:t xml:space="preserve">Ces pratiques rendent difficile la centralisation, la mise a jour et le partage de l'information entre les acteurs, en particulier lorsqu'il existe plusieurs gestionnaires, plusieurs biens et plusieurs portefeuilles.</w:t>
      </w:r>
    </w:p>
    <w:p>
      <w:pPr>
        <w:pStyle w:val="Heading3"/>
        <w:spacing w:before="200" w:after="100"/>
      </w:pPr>
      <w:r>
        <w:rPr>
          <w:rFonts w:ascii="Arial" w:cs="Arial" w:eastAsia="Arial" w:hAnsi="Arial"/>
          <w:b/>
          <w:bCs/>
          <w:color w:val="2196F3"/>
          <w:sz w:val="24"/>
          <w:szCs w:val="24"/>
        </w:rPr>
        <w:t xml:space="preserve">II.2.2. Problematique de l'existant</w:t>
      </w:r>
    </w:p>
    <w:p>
      <w:pPr>
        <w:spacing w:before="80" w:after="120" w:line="290"/>
        <w:jc w:val="both"/>
      </w:pPr>
      <w:r>
        <w:rPr>
          <w:rFonts w:ascii="Arial" w:cs="Arial" w:eastAsia="Arial" w:hAnsi="Arial"/>
          <w:b w:val="false"/>
          <w:bCs w:val="false"/>
          <w:i w:val="false"/>
          <w:iCs w:val="false"/>
          <w:color w:val="333333"/>
          <w:sz w:val="22"/>
          <w:szCs w:val="22"/>
        </w:rPr>
        <w:t xml:space="preserve">L'absence d'un systeme unifie entraine des doublons, des incoherences et une perte de temps dans la verification. Le suivi des paiements et des depots est souvent incomplet, et les documents administratifs ne sont pas toujours rattaches au bon dossier.</w:t>
      </w:r>
    </w:p>
    <w:p>
      <w:pPr>
        <w:spacing w:before="80" w:after="120" w:line="290"/>
        <w:jc w:val="both"/>
      </w:pPr>
      <w:r>
        <w:rPr>
          <w:rFonts w:ascii="Arial" w:cs="Arial" w:eastAsia="Arial" w:hAnsi="Arial"/>
          <w:b w:val="false"/>
          <w:bCs w:val="false"/>
          <w:i w:val="false"/>
          <w:iCs w:val="false"/>
          <w:color w:val="333333"/>
          <w:sz w:val="22"/>
          <w:szCs w:val="22"/>
        </w:rPr>
        <w:t xml:space="preserve">De plus, sans historisation des actions, il devient difficile de savoir qui a modifie une information, a quel moment, et pour quelle raison. Cela limite la capacite a auditer les operations et a prendre de bonnes decisions.</w:t>
      </w:r>
    </w:p>
    <w:p>
      <w:pPr>
        <w:pStyle w:val="Heading3"/>
        <w:spacing w:before="200" w:after="100"/>
      </w:pPr>
      <w:r>
        <w:rPr>
          <w:rFonts w:ascii="Arial" w:cs="Arial" w:eastAsia="Arial" w:hAnsi="Arial"/>
          <w:b/>
          <w:bCs/>
          <w:color w:val="2196F3"/>
          <w:sz w:val="24"/>
          <w:szCs w:val="24"/>
        </w:rPr>
        <w:t xml:space="preserve">II.2.3. Points faibles du processus actuel</w:t>
      </w:r>
    </w:p>
    <w:p>
      <w:pPr>
        <w:spacing w:before="80" w:after="120" w:line="290"/>
        <w:jc w:val="both"/>
      </w:pPr>
      <w:r>
        <w:rPr>
          <w:rFonts w:ascii="Arial" w:cs="Arial" w:eastAsia="Arial" w:hAnsi="Arial"/>
          <w:b w:val="false"/>
          <w:bCs w:val="false"/>
          <w:i w:val="false"/>
          <w:iCs w:val="false"/>
          <w:color w:val="333333"/>
          <w:sz w:val="22"/>
          <w:szCs w:val="22"/>
        </w:rPr>
        <w:t xml:space="preserve">Les principales limites constatees sont les suivantes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Donnees dispersees entre plusieurs supports (fichiers, papier, messagerie).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Saisie manuelle repetitive, chronophage et source d'erreurs (doublons, omissions).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de suivi des paiements, depots et arrieres (retards, rapprochements difficiles).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documentaire non standardisee (contrats, quittances, pieces, recaps).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separation claire des roles et perimetres entre administrateurs.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Faible tracabilite : difficultes a reconstituer l'historique des actions.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a produire rapidement des indicateurs (encaissements, retards, performance).</w:t>
      </w:r>
    </w:p>
    <w:p>
      <w:pPr>
        <w:spacing w:before="80" w:after="120" w:line="290"/>
        <w:jc w:val="both"/>
      </w:pPr>
      <w:r>
        <w:rPr>
          <w:rFonts w:ascii="Arial" w:cs="Arial" w:eastAsia="Arial" w:hAnsi="Arial"/>
          <w:b w:val="false"/>
          <w:bCs w:val="false"/>
          <w:i w:val="false"/>
          <w:iCs w:val="false"/>
          <w:color w:val="333333"/>
          <w:sz w:val="22"/>
          <w:szCs w:val="22"/>
        </w:rPr>
        <w:t xml:space="preserve">Ces constats justifient la mise en place d'une plateforme dediee, permettant de centraliser les informations et de securiser les operations tout en facilitant le pilotage.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Concevoir et realiser une plateforme de gestion locative multi-roles permettant de centraliser les donnees, de securiser les acces, d'automatiser le suivi des operations et d'assurer la tracabilite des actions.</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Centraliser et organiser les documents (upload, classement, recherche) par client/location.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Mettre en place des historiques, un journal d'audit et des reportings pour le pilotage.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Ameliorer l'experience utilisateur via des formulaires controles, des validations et des retours clairs.</w:t>
      </w:r>
    </w:p>
    <w:p>
      <w:pPr>
        <w:pStyle w:val="Heading2"/>
        <w:spacing w:before="280" w:after="160"/>
      </w:pPr>
      <w:r>
        <w:rPr>
          <w:rFonts w:ascii="Arial" w:cs="Arial" w:eastAsia="Arial" w:hAnsi="Arial"/>
          <w:b/>
          <w:bCs/>
          <w:color w:val="1A4FAD"/>
          <w:sz w:val="28"/>
          <w:szCs w:val="28"/>
        </w:rPr>
        <w:t xml:space="preserve">II.5. Analyse du Marche et de la Concurrence</w:t>
      </w:r>
    </w:p>
    <w:p>
      <w:pPr>
        <w:pStyle w:val="Heading3"/>
        <w:spacing w:before="200" w:after="100"/>
      </w:pPr>
      <w:r>
        <w:rPr>
          <w:rFonts w:ascii="Arial" w:cs="Arial" w:eastAsia="Arial" w:hAnsi="Arial"/>
          <w:b/>
          <w:bCs/>
          <w:color w:val="2196F3"/>
          <w:sz w:val="24"/>
          <w:szCs w:val="24"/>
        </w:rPr>
        <w:t xml:space="preserve">II.5.1. Presentation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numerique s'inscrit dans la transformation digitale du domaine immobilier. Les agences, societes de gestion et proprietaires adoptent des solutions logicielles afin de centraliser la gestion des biens, le suivi des locataires, l'automatisation des paiements, la gestion documentaire et l'analyse des performances financieres.</w:t>
      </w:r>
    </w:p>
    <w:p>
      <w:pPr>
        <w:spacing w:before="80" w:after="120" w:line="290"/>
        <w:jc w:val="both"/>
      </w:pPr>
      <w:r>
        <w:rPr>
          <w:rFonts w:ascii="Arial" w:cs="Arial" w:eastAsia="Arial" w:hAnsi="Arial"/>
          <w:b w:val="false"/>
          <w:bCs w:val="false"/>
          <w:i w:val="false"/>
          <w:iCs w:val="false"/>
          <w:color w:val="333333"/>
          <w:sz w:val="22"/>
          <w:szCs w:val="22"/>
        </w:rPr>
        <w:t xml:space="preserve">Les logiciels de gestion locative (Property Management Software) constituent aujourd'hui un marche mondial en forte croissance. Selon certaines etudes de marche (a verifier), la taille du marche mondial des logiciels de gestion immobiliere pourrait atteindre 5,86 milliards de dollars d'ici 2032, avec une croissance annuelle moyenne d'environ 14,8%.</w:t>
      </w:r>
    </w:p>
    <w:p>
      <w:pPr>
        <w:spacing w:before="80" w:after="120" w:line="290"/>
        <w:jc w:val="both"/>
      </w:pPr>
      <w:r>
        <w:rPr>
          <w:rFonts w:ascii="Arial" w:cs="Arial" w:eastAsia="Arial" w:hAnsi="Arial"/>
          <w:b w:val="false"/>
          <w:bCs w:val="false"/>
          <w:i w:val="false"/>
          <w:iCs w:val="false"/>
          <w:color w:val="333333"/>
          <w:sz w:val="22"/>
          <w:szCs w:val="22"/>
        </w:rPr>
        <w:t xml:space="preserve">Cette croissance est principalement alimentee par la digitalisation du secteur immobilier, la croissance du marche locatif, l'automatisation des processus administratifs et la generalisation des solutions cloud.</w:t>
      </w:r>
    </w:p>
    <w:p>
      <w:pPr>
        <w:spacing w:before="80" w:after="120" w:line="290"/>
        <w:jc w:val="both"/>
      </w:pPr>
      <w:r>
        <w:rPr>
          <w:rFonts w:ascii="Arial" w:cs="Arial" w:eastAsia="Arial" w:hAnsi="Arial"/>
          <w:b w:val="false"/>
          <w:bCs w:val="false"/>
          <w:i w:val="false"/>
          <w:iCs w:val="false"/>
          <w:color w:val="333333"/>
          <w:sz w:val="22"/>
          <w:szCs w:val="22"/>
        </w:rPr>
        <w:t xml:space="preserve">Dans la region Moyen-Orient et Afrique, ce marche representerait environ 6,2% du marche mondial (a verifier), avec une adoption progressive liee au developpement urbain et aux investissements immobiliers.</w:t>
      </w:r>
    </w:p>
    <w:p>
      <w:pPr>
        <w:pStyle w:val="Heading3"/>
        <w:spacing w:before="200" w:after="100"/>
      </w:pPr>
      <w:r>
        <w:rPr>
          <w:rFonts w:ascii="Arial" w:cs="Arial" w:eastAsia="Arial" w:hAnsi="Arial"/>
          <w:b/>
          <w:bCs/>
          <w:color w:val="2196F3"/>
          <w:sz w:val="24"/>
          <w:szCs w:val="24"/>
        </w:rPr>
        <w:t xml:space="preserve">II.5.2. Segmentation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marche des plateformes de gestion locative peut etre segmente selon le type de solution, le type d'utilisateur et les fonctionnalites proposees.</w:t>
      </w:r>
    </w:p>
    <w:p>
      <w:pPr>
        <w:spacing w:before="80" w:after="120" w:line="290"/>
        <w:jc w:val="both"/>
      </w:pPr>
      <w:r>
        <w:rPr>
          <w:rFonts w:ascii="Arial" w:cs="Arial" w:eastAsia="Arial" w:hAnsi="Arial"/>
          <w:b w:val="false"/>
          <w:bCs w:val="false"/>
          <w:i w:val="false"/>
          <w:iCs w:val="false"/>
          <w:color w:val="333333"/>
          <w:sz w:val="22"/>
          <w:szCs w:val="22"/>
        </w:rPr>
        <w:t xml:space="preserve">Segmentation par type de solution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cloud (SaaS) : accessibles via navigateur, mises a jour automatiques, cout d'infrastructure reduit.</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on-premise : installees localement sur les serveurs, davantage utilisees par les grandes entreprises.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hybrides : combinaison des deux approches.</w:t>
      </w:r>
    </w:p>
    <w:p>
      <w:pPr>
        <w:spacing w:before="80" w:after="120" w:line="290"/>
        <w:jc w:val="both"/>
      </w:pPr>
      <w:r>
        <w:rPr>
          <w:rFonts w:ascii="Arial" w:cs="Arial" w:eastAsia="Arial" w:hAnsi="Arial"/>
          <w:b w:val="false"/>
          <w:bCs w:val="false"/>
          <w:i w:val="false"/>
          <w:iCs w:val="false"/>
          <w:color w:val="333333"/>
          <w:sz w:val="22"/>
          <w:szCs w:val="22"/>
        </w:rPr>
        <w:t xml:space="preserve">La tendance actuelle favorise les solutions cloud, car elles permettent une gestion a distance et une meilleure accessibilite.</w:t>
      </w:r>
    </w:p>
    <w:p>
      <w:pPr>
        <w:spacing w:before="80" w:after="120" w:line="290"/>
        <w:jc w:val="both"/>
      </w:pPr>
      <w:r>
        <w:rPr>
          <w:rFonts w:ascii="Arial" w:cs="Arial" w:eastAsia="Arial" w:hAnsi="Arial"/>
          <w:b w:val="false"/>
          <w:bCs w:val="false"/>
          <w:i w:val="false"/>
          <w:iCs w:val="false"/>
          <w:color w:val="333333"/>
          <w:sz w:val="22"/>
          <w:szCs w:val="22"/>
        </w:rPr>
        <w:t xml:space="preserve">Segmentation par utilisateur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Agences immobilieres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Societes de gestion immobiliere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Proprietaires prives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Entreprises de location de biens</w:t>
      </w:r>
    </w:p>
    <w:p>
      <w:pPr>
        <w:spacing w:before="80" w:after="120" w:line="290"/>
        <w:jc w:val="both"/>
      </w:pPr>
      <w:r>
        <w:rPr>
          <w:rFonts w:ascii="Arial" w:cs="Arial" w:eastAsia="Arial" w:hAnsi="Arial"/>
          <w:b w:val="false"/>
          <w:bCs w:val="false"/>
          <w:i w:val="false"/>
          <w:iCs w:val="false"/>
          <w:color w:val="333333"/>
          <w:sz w:val="22"/>
          <w:szCs w:val="22"/>
        </w:rPr>
        <w:t xml:space="preserve">Chaque categorie presente des besoins differents en gestion administrative, suivi financier et gestion documentaire.</w:t>
      </w:r>
    </w:p>
    <w:p>
      <w:pPr>
        <w:spacing w:before="80" w:after="120" w:line="290"/>
        <w:jc w:val="both"/>
      </w:pPr>
      <w:r>
        <w:rPr>
          <w:rFonts w:ascii="Arial" w:cs="Arial" w:eastAsia="Arial" w:hAnsi="Arial"/>
          <w:b w:val="false"/>
          <w:bCs w:val="false"/>
          <w:i w:val="false"/>
          <w:iCs w:val="false"/>
          <w:color w:val="333333"/>
          <w:sz w:val="22"/>
          <w:szCs w:val="22"/>
        </w:rPr>
        <w:t xml:space="preserve">Segmentation par fonctionnalites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locataires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contrats de 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Suivi des paiements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 la maintenance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documents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Reporting et analyse financiere</w:t>
      </w:r>
    </w:p>
    <w:p>
      <w:pPr>
        <w:spacing w:before="80" w:after="120" w:line="290"/>
        <w:jc w:val="both"/>
      </w:pPr>
      <w:r>
        <w:rPr>
          <w:rFonts w:ascii="Arial" w:cs="Arial" w:eastAsia="Arial" w:hAnsi="Arial"/>
          <w:b w:val="false"/>
          <w:bCs w:val="false"/>
          <w:i w:val="false"/>
          <w:iCs w:val="false"/>
          <w:color w:val="333333"/>
          <w:sz w:val="22"/>
          <w:szCs w:val="22"/>
        </w:rPr>
        <w:t xml:space="preserve">Ces fonctionnalites permettent de reduire les erreurs et d'ameliorer la productivite des gestionnaires immobiliers.</w:t>
      </w:r>
    </w:p>
    <w:p>
      <w:pPr>
        <w:pStyle w:val="Heading3"/>
        <w:spacing w:before="200" w:after="100"/>
      </w:pPr>
      <w:r>
        <w:rPr>
          <w:rFonts w:ascii="Arial" w:cs="Arial" w:eastAsia="Arial" w:hAnsi="Arial"/>
          <w:b/>
          <w:bCs/>
          <w:color w:val="2196F3"/>
          <w:sz w:val="24"/>
          <w:szCs w:val="24"/>
        </w:rPr>
        <w:t xml:space="preserve">II.5.3. Analyse de la Concurrence</w:t>
      </w:r>
    </w:p>
    <w:p>
      <w:pPr>
        <w:spacing w:before="80" w:after="120" w:line="290"/>
        <w:jc w:val="both"/>
      </w:pPr>
      <w:r>
        <w:rPr>
          <w:rFonts w:ascii="Arial" w:cs="Arial" w:eastAsia="Arial" w:hAnsi="Arial"/>
          <w:b w:val="false"/>
          <w:bCs w:val="false"/>
          <w:i w:val="false"/>
          <w:iCs w:val="false"/>
          <w:color w:val="333333"/>
          <w:sz w:val="22"/>
          <w:szCs w:val="22"/>
        </w:rPr>
        <w:t xml:space="preserve">Le marche des logiciels de gestion locative est caracterise par une concurrence importante, avec plusieurs acteurs internationaux fortement implantes.</w:t>
      </w:r>
    </w:p>
    <w:p>
      <w:pPr>
        <w:spacing w:before="80" w:after="120" w:line="290"/>
        <w:jc w:val="both"/>
      </w:pPr>
      <w:r>
        <w:rPr>
          <w:rFonts w:ascii="Arial" w:cs="Arial" w:eastAsia="Arial" w:hAnsi="Arial"/>
          <w:b w:val="false"/>
          <w:bCs w:val="false"/>
          <w:i w:val="false"/>
          <w:iCs w:val="false"/>
          <w:color w:val="333333"/>
          <w:sz w:val="22"/>
          <w:szCs w:val="22"/>
        </w:rPr>
        <w:t xml:space="preserve">Principaux acteurs identifies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Yardi Systems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RealPage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Entrata</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AppFolio</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Buildium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Rent Manager</w:t>
      </w:r>
    </w:p>
    <w:p>
      <w:pPr>
        <w:spacing w:before="80" w:after="120" w:line="290"/>
        <w:jc w:val="both"/>
      </w:pPr>
      <w:r>
        <w:rPr>
          <w:rFonts w:ascii="Arial" w:cs="Arial" w:eastAsia="Arial" w:hAnsi="Arial"/>
          <w:b w:val="false"/>
          <w:bCs w:val="false"/>
          <w:i w:val="false"/>
          <w:iCs w:val="false"/>
          <w:color w:val="333333"/>
          <w:sz w:val="22"/>
          <w:szCs w:val="22"/>
        </w:rPr>
        <w:t xml:space="preserve">D'apres certaines analyses (a verifier), AppFolio detiendrait environ 11,94% de part de marche et Buildium environ 3,37%. Ces solutions dominent une grande partie du marche mondial, avec des offres SaaS completes mais souvent couteuses et peu adapteees aux realites africaines.</w:t>
      </w:r>
    </w:p>
    <w:p>
      <w:pPr>
        <w:spacing w:before="80" w:after="120" w:line="290"/>
        <w:jc w:val="both"/>
      </w:pPr>
      <w:r>
        <w:rPr>
          <w:rFonts w:ascii="Arial" w:cs="Arial" w:eastAsia="Arial" w:hAnsi="Arial"/>
          <w:b w:val="false"/>
          <w:bCs w:val="false"/>
          <w:i w:val="false"/>
          <w:iCs w:val="false"/>
          <w:color w:val="333333"/>
          <w:sz w:val="22"/>
          <w:szCs w:val="22"/>
        </w:rPr>
        <w:t xml:space="preserve">Presentation rapide de quelques concurrents :</w:t>
      </w:r>
    </w:p>
    <w:p>
      <w:pPr>
        <w:spacing w:before="80" w:after="120" w:line="290"/>
        <w:jc w:val="both"/>
      </w:pPr>
      <w:r>
        <w:rPr>
          <w:rFonts w:ascii="Arial" w:cs="Arial" w:eastAsia="Arial" w:hAnsi="Arial"/>
          <w:b w:val="false"/>
          <w:bCs w:val="false"/>
          <w:i w:val="false"/>
          <w:iCs w:val="false"/>
          <w:color w:val="333333"/>
          <w:sz w:val="22"/>
          <w:szCs w:val="22"/>
        </w:rPr>
        <w:t xml:space="preserve">AppFolio : solution cloud moderne, forte automatisation (loyers, portail locataire, comptabilite, communications). Limites : cout eleve, orientation forte vers les marches occidentaux.</w:t>
      </w:r>
    </w:p>
    <w:p>
      <w:pPr>
        <w:spacing w:before="80" w:after="120" w:line="290"/>
        <w:jc w:val="both"/>
      </w:pPr>
      <w:r>
        <w:rPr>
          <w:rFonts w:ascii="Arial" w:cs="Arial" w:eastAsia="Arial" w:hAnsi="Arial"/>
          <w:b w:val="false"/>
          <w:bCs w:val="false"/>
          <w:i w:val="false"/>
          <w:iCs w:val="false"/>
          <w:color w:val="333333"/>
          <w:sz w:val="22"/>
          <w:szCs w:val="22"/>
        </w:rPr>
        <w:t xml:space="preserve">Buildium : plateforme complete pour gestionnaires/agents (loyers, suivi financier, maintenance, gestion proprietaires). Limites : abonnement couteux, adaptation limitee au contexte local.</w:t>
      </w:r>
    </w:p>
    <w:p>
      <w:pPr>
        <w:spacing w:before="80" w:after="120" w:line="290"/>
        <w:jc w:val="both"/>
      </w:pPr>
      <w:r>
        <w:rPr>
          <w:rFonts w:ascii="Arial" w:cs="Arial" w:eastAsia="Arial" w:hAnsi="Arial"/>
          <w:b w:val="false"/>
          <w:bCs w:val="false"/>
          <w:i w:val="false"/>
          <w:iCs w:val="false"/>
          <w:color w:val="333333"/>
          <w:sz w:val="22"/>
          <w:szCs w:val="22"/>
        </w:rPr>
        <w:t xml:space="preserve">Rent Manager : solution flexible et personnalisable (baux, paiements, rapports). Limites : complexite de parametrage pour les petites structures.</w:t>
      </w:r>
    </w:p>
    <w:p>
      <w:pPr>
        <w:spacing w:before="80" w:after="120" w:line="290"/>
        <w:jc w:val="both"/>
      </w:pPr>
      <w:r>
        <w:rPr>
          <w:rFonts w:ascii="Arial" w:cs="Arial" w:eastAsia="Arial" w:hAnsi="Arial"/>
          <w:b w:val="false"/>
          <w:bCs w:val="false"/>
          <w:i w:val="false"/>
          <w:iCs w:val="false"/>
          <w:color w:val="333333"/>
          <w:sz w:val="22"/>
          <w:szCs w:val="22"/>
        </w:rPr>
        <w:t xml:space="preserve">Figure II-1: Marche et concurrence</w:t>
      </w:r>
    </w:p>
    <w:p>
      <w:pPr>
        <w:jc w:val="center"/>
        <w:spacing w:before="120" w:after="120"/>
      </w:pPr>
      <w:r>
        <w:drawing>
          <wp:inline distT="0" distB="0" distL="0" distR="0">
            <wp:extent cx="5943600" cy="3962400"/>
            <wp:effectExtent l="0" t="0" r="0" b="0"/>
            <wp:docPr id="19" name="Picture 19"/>
            <wp:cNvGraphicFramePr>
              <a:graphicFrameLocks noChangeAspect="1"/>
            </wp:cNvGraphicFramePr>
            <a:graphic>
              <a:graphicData uri="http://schemas.openxmlformats.org/drawingml/2006/picture">
                <pic:pic>
                  <pic:nvPicPr>
                    <pic:cNvPr id="19" name="image17.png"/>
                    <pic:cNvPicPr/>
                  </pic:nvPicPr>
                  <pic:blipFill>
                    <a:blip r:embed="rId25" cstate="print"/>
                    <a:stretch>
                      <a:fillRect/>
                    </a:stretch>
                  </pic:blipFill>
                  <pic:spPr>
                    <a:xfrm>
                      <a:off x="0" y="0"/>
                      <a:ext cx="5943600" cy="39624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II.5.4. Marche Africain et Contexte Senegalais</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repose encore largement sur Excel, des cahiers de gestion et la communication via WhatsApp. Ces pratiques entrainent un manque de centralisation, une difficulte de suivi des paiements et un risque d'erreurs ou de perte d'information.</w:t>
      </w:r>
    </w:p>
    <w:p>
      <w:pPr>
        <w:spacing w:before="80" w:after="120" w:line="290"/>
        <w:jc w:val="both"/>
      </w:pPr>
      <w:r>
        <w:rPr>
          <w:rFonts w:ascii="Arial" w:cs="Arial" w:eastAsia="Arial" w:hAnsi="Arial"/>
          <w:b w:val="false"/>
          <w:bCs w:val="false"/>
          <w:i w:val="false"/>
          <w:iCs w:val="false"/>
          <w:color w:val="333333"/>
          <w:sz w:val="22"/>
          <w:szCs w:val="22"/>
        </w:rPr>
        <w:t xml:space="preserve">Cette situation cree une opportunite importante pour des solutions numeriques locales : simples, adaptees au contexte, et accessibles financierement.</w:t>
      </w:r>
    </w:p>
    <w:p>
      <w:pPr>
        <w:pStyle w:val="Heading3"/>
        <w:spacing w:before="200" w:after="100"/>
      </w:pPr>
      <w:r>
        <w:rPr>
          <w:rFonts w:ascii="Arial" w:cs="Arial" w:eastAsia="Arial" w:hAnsi="Arial"/>
          <w:b/>
          <w:bCs/>
          <w:color w:val="2196F3"/>
          <w:sz w:val="24"/>
          <w:szCs w:val="24"/>
        </w:rPr>
        <w:t xml:space="preserve">II.5.5. Analyse SWOT du Projet KYA</w:t>
      </w:r>
    </w:p>
    <w:p>
      <w:pPr>
        <w:spacing w:before="80" w:after="120" w:line="290"/>
        <w:jc w:val="both"/>
      </w:pPr>
      <w:r>
        <w:rPr>
          <w:rFonts w:ascii="Arial" w:cs="Arial" w:eastAsia="Arial" w:hAnsi="Arial"/>
          <w:b w:val="false"/>
          <w:bCs w:val="false"/>
          <w:i w:val="false"/>
          <w:iCs w:val="false"/>
          <w:color w:val="333333"/>
          <w:sz w:val="22"/>
          <w:szCs w:val="22"/>
        </w:rPr>
        <w:t xml:space="preserve">L'analyse SWOT suivante synthetise les facteurs internes (forces/faiblesses) et externes (opportunites/menaces) du projet KYA.</w:t>
      </w:r>
    </w:p>
    <w:p>
      <w:pPr>
        <w:spacing w:before="80" w:after="120" w:line="290"/>
        <w:jc w:val="both"/>
      </w:pPr>
      <w:r>
        <w:rPr>
          <w:rFonts w:ascii="Arial" w:cs="Arial" w:eastAsia="Arial" w:hAnsi="Arial"/>
          <w:b w:val="false"/>
          <w:bCs w:val="false"/>
          <w:i w:val="false"/>
          <w:iCs w:val="false"/>
          <w:color w:val="333333"/>
          <w:sz w:val="22"/>
          <w:szCs w:val="22"/>
        </w:rPr>
        <w:t xml:space="preserve">Forces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Plateforme centralisee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multi-roles (Super Admin / Admin)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Import Excel avec controle anti-duplication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Systeme d'audit et tracabilite</w:t>
      </w:r>
    </w:p>
    <w:p>
      <w:pPr>
        <w:spacing w:before="80" w:after="120" w:line="290"/>
        <w:jc w:val="both"/>
      </w:pPr>
      <w:r>
        <w:rPr>
          <w:rFonts w:ascii="Arial" w:cs="Arial" w:eastAsia="Arial" w:hAnsi="Arial"/>
          <w:b w:val="false"/>
          <w:bCs w:val="false"/>
          <w:i w:val="false"/>
          <w:iCs w:val="false"/>
          <w:color w:val="333333"/>
          <w:sz w:val="22"/>
          <w:szCs w:val="22"/>
        </w:rPr>
        <w:t xml:space="preserve">Faiblesses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Projet en phase initiale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Absence d'integration avec des systemes de paiement (a date)</w:t>
      </w:r>
    </w:p>
    <w:p>
      <w:pPr>
        <w:spacing w:before="80" w:after="120" w:line="290"/>
        <w:jc w:val="both"/>
      </w:pPr>
      <w:r>
        <w:rPr>
          <w:rFonts w:ascii="Arial" w:cs="Arial" w:eastAsia="Arial" w:hAnsi="Arial"/>
          <w:b w:val="false"/>
          <w:bCs w:val="false"/>
          <w:i w:val="false"/>
          <w:iCs w:val="false"/>
          <w:color w:val="333333"/>
          <w:sz w:val="22"/>
          <w:szCs w:val="22"/>
        </w:rPr>
        <w:t xml:space="preserve">Opportunites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Croissance du marche immobilier et du parc locatif</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Digitalisation des entreprises et des processus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solutions locales adaptees</w:t>
      </w:r>
    </w:p>
    <w:p>
      <w:pPr>
        <w:spacing w:before="80" w:after="120" w:line="290"/>
        <w:jc w:val="both"/>
      </w:pPr>
      <w:r>
        <w:rPr>
          <w:rFonts w:ascii="Arial" w:cs="Arial" w:eastAsia="Arial" w:hAnsi="Arial"/>
          <w:b w:val="false"/>
          <w:bCs w:val="false"/>
          <w:i w:val="false"/>
          <w:iCs w:val="false"/>
          <w:color w:val="333333"/>
          <w:sz w:val="22"/>
          <w:szCs w:val="22"/>
        </w:rPr>
        <w:t xml:space="preserve">Menaces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Concurrence des solutions internationales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Adoption parfois lente des technologies numeriques</w:t>
      </w:r>
    </w:p>
    <w:p>
      <w:pPr>
        <w:pStyle w:val="Heading3"/>
        <w:spacing w:before="200" w:after="100"/>
      </w:pPr>
      <w:r>
        <w:rPr>
          <w:rFonts w:ascii="Arial" w:cs="Arial" w:eastAsia="Arial" w:hAnsi="Arial"/>
          <w:b/>
          <w:bCs/>
          <w:color w:val="2196F3"/>
          <w:sz w:val="24"/>
          <w:szCs w:val="24"/>
        </w:rPr>
        <w:t xml:space="preserve">II.5.6. Positionnement Strategique de KYA</w:t>
      </w:r>
    </w:p>
    <w:p>
      <w:pPr>
        <w:spacing w:before="80" w:after="120" w:line="290"/>
        <w:jc w:val="both"/>
      </w:pPr>
      <w:r>
        <w:rPr>
          <w:rFonts w:ascii="Arial" w:cs="Arial" w:eastAsia="Arial" w:hAnsi="Arial"/>
          <w:b w:val="false"/>
          <w:bCs w:val="false"/>
          <w:i w:val="false"/>
          <w:iCs w:val="false"/>
          <w:color w:val="333333"/>
          <w:sz w:val="22"/>
          <w:szCs w:val="22"/>
        </w:rPr>
        <w:t xml:space="preserve">KYA (Keur Ya Aicha) se positionne comme une solution adaptee aux realites locales, simple a utiliser et orientee vers les PME immobilieres. Contrairement aux solutions internationales souvent couteuses, KYA vise a proposer une plateforme accessible, une gestion centralisee et une meilleure tracabilite des operations.</w:t>
      </w:r>
    </w:p>
    <w:p>
      <w:pPr>
        <w:pStyle w:val="Heading3"/>
        <w:spacing w:before="200" w:after="100"/>
      </w:pPr>
      <w:r>
        <w:rPr>
          <w:rFonts w:ascii="Arial" w:cs="Arial" w:eastAsia="Arial" w:hAnsi="Arial"/>
          <w:b/>
          <w:bCs/>
          <w:color w:val="2196F3"/>
          <w:sz w:val="24"/>
          <w:szCs w:val="24"/>
        </w:rPr>
        <w:t xml:space="preserve">II.5.7. Opportunites de Marche</w:t>
      </w:r>
    </w:p>
    <w:p>
      <w:pPr>
        <w:spacing w:before="80" w:after="120" w:line="290"/>
        <w:jc w:val="both"/>
      </w:pPr>
      <w:r>
        <w:rPr>
          <w:rFonts w:ascii="Arial" w:cs="Arial" w:eastAsia="Arial" w:hAnsi="Arial"/>
          <w:b w:val="false"/>
          <w:bCs w:val="false"/>
          <w:i w:val="false"/>
          <w:iCs w:val="false"/>
          <w:color w:val="333333"/>
          <w:sz w:val="22"/>
          <w:szCs w:val="22"/>
        </w:rPr>
        <w:t xml:space="preserve">KYA repond a plusieurs besoins concrets : digitalisation des agences immobilieres, automatisation de la gestion locative et amelioration de la tracabilite des operations. Avec l'evolution du secteur immobilier et la transformation numerique, les plateformes de gestion locative devraient continuer a se developper dans les annees a venir.</w:t>
      </w:r>
    </w:p>
    <w:p>
      <w:pPr>
        <w:pStyle w:val="Heading3"/>
        <w:spacing w:before="200" w:after="100"/>
      </w:pPr>
      <w:r>
        <w:rPr>
          <w:rFonts w:ascii="Arial" w:cs="Arial" w:eastAsia="Arial" w:hAnsi="Arial"/>
          <w:b/>
          <w:bCs/>
          <w:color w:val="2196F3"/>
          <w:sz w:val="24"/>
          <w:szCs w:val="24"/>
        </w:rPr>
        <w:t xml:space="preserve">II.5.8. Webographie (Sources)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https://www.worldwidemarketreports.com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https://6sense.com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https://thebusinessresearchcompany.com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https://www.emergenresearch.com</w:t>
      </w:r>
    </w:p>
    <w:p>
      <w:pPr>
        <w:spacing w:before="80" w:after="120" w:line="290"/>
        <w:jc w:val="both"/>
      </w:pPr>
      <w:r>
        <w:rPr>
          <w:rFonts w:ascii="Arial" w:cs="Arial" w:eastAsia="Arial" w:hAnsi="Arial"/>
          <w:b w:val="false"/>
          <w:bCs w:val="false"/>
          <w:i w:val="false"/>
          <w:iCs w:val="false"/>
          <w:color w:val="333333"/>
          <w:sz w:val="22"/>
          <w:szCs w:val="22"/>
        </w:rPr>
        <w:t xml:space="preserve">Remarque : les chiffres (taille de marche, CAGR, parts de marche, proportion MENA/Afrique) doivent etre verifies et documentes avec des references precises dans la version finale.</w:t>
      </w:r>
    </w:p>
    <w:p>
      <w:pPr>
        <w:spacing w:before="80" w:after="120" w:line="290"/>
        <w:jc w:val="both"/>
      </w:pPr>
      <w:r>
        <w:rPr>
          <w:rFonts w:ascii="Arial" w:cs="Arial" w:eastAsia="Arial" w:hAnsi="Arial"/>
          <w:b w:val="false"/>
          <w:bCs w:val="false"/>
          <w:i w:val="false"/>
          <w:iCs w:val="false"/>
          <w:color w:val="333333"/>
          <w:sz w:val="22"/>
          <w:szCs w:val="22"/>
        </w:rPr>
        <w:t xml:space="preserve">A completer (optionnel, pour renforcer la soutenance) : analyse PESTEL, personas utilisateurs, benchmark fonctionnel detaille, donnees locales (ex : ANSD) et etude de l'ecosysteme immobilier au Senegal.</w:t>
      </w:r>
    </w:p>
    <w:p>
      <w:pPr>
        <w:pStyle w:val="Heading2"/>
        <w:spacing w:before="280" w:after="160"/>
      </w:pPr>
      <w:r>
        <w:rPr>
          <w:rFonts w:ascii="Arial" w:cs="Arial" w:eastAsia="Arial" w:hAnsi="Arial"/>
          <w:b/>
          <w:bCs/>
          <w:color w:val="1A4FAD"/>
          <w:sz w:val="28"/>
          <w:szCs w:val="28"/>
        </w:rPr>
        <w:t xml:space="preserve">II.6. Les outils de travail et les langages utilises</w:t>
      </w:r>
    </w:p>
    <w:p>
      <w:pPr>
        <w:spacing w:before="80" w:after="120" w:line="290"/>
        <w:jc w:val="both"/>
      </w:pPr>
      <w:r>
        <w:rPr>
          <w:rFonts w:ascii="Arial" w:cs="Arial" w:eastAsia="Arial" w:hAnsi="Arial"/>
          <w:b w:val="false"/>
          <w:bCs w:val="false"/>
          <w:i w:val="false"/>
          <w:iCs w:val="false"/>
          <w:color w:val="333333"/>
          <w:sz w:val="22"/>
          <w:szCs w:val="22"/>
        </w:rPr>
        <w:t xml:space="preserve">La realisation de KYA a necessite un ensemble d'outils de travail pour la conception, le developpement et les tests, ainsi qu'un choix de langages et technologies adaptes a une application web moderne multi-roles.</w:t>
      </w:r>
    </w:p>
    <w:p>
      <w:pPr>
        <w:pStyle w:val="Heading3"/>
        <w:spacing w:before="200" w:after="100"/>
      </w:pPr>
      <w:r>
        <w:rPr>
          <w:rFonts w:ascii="Arial" w:cs="Arial" w:eastAsia="Arial" w:hAnsi="Arial"/>
          <w:b/>
          <w:bCs/>
          <w:color w:val="2196F3"/>
          <w:sz w:val="24"/>
          <w:szCs w:val="24"/>
        </w:rPr>
        <w:t xml:space="preserve">II.6.1. Outils de travail</w:t>
      </w:r>
    </w:p>
    <w:p>
      <w:pPr>
        <w:spacing w:before="80" w:after="120" w:line="290"/>
        <w:jc w:val="both"/>
      </w:pPr>
      <w:r>
        <w:rPr>
          <w:rFonts w:ascii="Arial" w:cs="Arial" w:eastAsia="Arial" w:hAnsi="Arial"/>
          <w:b w:val="false"/>
          <w:bCs w:val="false"/>
          <w:i w:val="false"/>
          <w:iCs w:val="false"/>
          <w:color w:val="333333"/>
          <w:sz w:val="22"/>
          <w:szCs w:val="22"/>
        </w:rPr>
        <w:t xml:space="preserve">Les principaux outils utilises couvrent l'edition du code, le versioning, les tests d'API, la containerisation et le prototypage.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VS Code : environnement de developpement (IDE).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Git / GitHub : gestion de versions et collaboration.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Docker (Docker Compose) : environnement local pour services (ex: base de donnees).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Postman : tests des endpoints et validation des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Figma : maquettes et prototypage UI.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Swagger : documentation et exploration des endpoints API.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npm : gestion des dependances et scripts de build.</w:t>
      </w:r>
    </w:p>
    <w:p>
      <w:pPr>
        <w:spacing w:before="80" w:after="120" w:line="290"/>
        <w:jc w:val="both"/>
      </w:pPr>
      <w:r>
        <w:rPr>
          <w:rFonts w:ascii="Arial" w:cs="Arial" w:eastAsia="Arial" w:hAnsi="Arial"/>
          <w:b w:val="false"/>
          <w:bCs w:val="false"/>
          <w:i w:val="false"/>
          <w:iCs w:val="false"/>
          <w:color w:val="333333"/>
          <w:sz w:val="22"/>
          <w:szCs w:val="22"/>
        </w:rPr>
        <w:t xml:space="preserve">Figure II-2: Outils de travail utilises</w:t>
      </w:r>
    </w:p>
    <w:p>
      <w:pPr>
        <w:jc w:val="center"/>
        <w:spacing w:before="120" w:after="120"/>
      </w:pPr>
      <w:r>
        <w:drawing>
          <wp:inline distT="0" distB="0" distL="0" distR="0">
            <wp:extent cx="5943600" cy="2971800"/>
            <wp:effectExtent l="0" t="0" r="0" b="0"/>
            <wp:docPr id="20" name="Picture 20"/>
            <wp:cNvGraphicFramePr>
              <a:graphicFrameLocks noChangeAspect="1"/>
            </wp:cNvGraphicFramePr>
            <a:graphic>
              <a:graphicData uri="http://schemas.openxmlformats.org/drawingml/2006/picture">
                <pic:pic>
                  <pic:nvPicPr>
                    <pic:cNvPr id="20" name="image18.png"/>
                    <pic:cNvPicPr/>
                  </pic:nvPicPr>
                  <pic:blipFill>
                    <a:blip r:embed="rId26" cstate="print"/>
                    <a:stretch>
                      <a:fillRect/>
                    </a:stretch>
                  </pic:blipFill>
                  <pic:spPr>
                    <a:xfrm>
                      <a:off x="0" y="0"/>
                      <a:ext cx="5943600" cy="29718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II.6.2. Langages et technologies</w:t>
      </w:r>
    </w:p>
    <w:p>
      <w:pPr>
        <w:spacing w:before="80" w:after="120" w:line="290"/>
        <w:jc w:val="both"/>
      </w:pPr>
      <w:r>
        <w:rPr>
          <w:rFonts w:ascii="Arial" w:cs="Arial" w:eastAsia="Arial" w:hAnsi="Arial"/>
          <w:b w:val="false"/>
          <w:bCs w:val="false"/>
          <w:i w:val="false"/>
          <w:iCs w:val="false"/>
          <w:color w:val="333333"/>
          <w:sz w:val="22"/>
          <w:szCs w:val="22"/>
        </w:rPr>
        <w:t xml:space="preserve">KYA s'appuie sur des langages et frameworks standards, permettant de construire une interface reactive, une API robuste et une base de donnees coherente.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TypeScript / JavaScript : logique applicative (frontend et backend).</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HTML5 / CSS3 : structure et styles de l'interface.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SQL (PostgreSQL) : stockage relationnel et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React + Vite + Tailwind CSS : interface utilisateur et performance.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Next.js (API) + Prisma + PostgreSQL : backend, ORM et persistance.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Electron : declinaison desktop (selon besoin de deploiement).</w:t>
      </w:r>
    </w:p>
    <w:p>
      <w:pPr>
        <w:spacing w:before="80" w:after="120" w:line="290"/>
        <w:jc w:val="both"/>
      </w:pPr>
      <w:r>
        <w:rPr>
          <w:rFonts w:ascii="Arial" w:cs="Arial" w:eastAsia="Arial" w:hAnsi="Arial"/>
          <w:b w:val="false"/>
          <w:bCs w:val="false"/>
          <w:i w:val="false"/>
          <w:iCs w:val="false"/>
          <w:color w:val="333333"/>
          <w:sz w:val="22"/>
          <w:szCs w:val="22"/>
        </w:rPr>
        <w:t xml:space="preserve">Figure II-3: Langages et technologies utilises</w:t>
      </w:r>
    </w:p>
    <w:p>
      <w:pPr>
        <w:jc w:val="center"/>
        <w:spacing w:before="120" w:after="120"/>
      </w:pPr>
      <w:r>
        <w:drawing>
          <wp:inline distT="0" distB="0" distL="0" distR="0">
            <wp:extent cx="5943600" cy="3962400"/>
            <wp:effectExtent l="0" t="0" r="0" b="0"/>
            <wp:docPr id="21" name="Picture 21"/>
            <wp:cNvGraphicFramePr>
              <a:graphicFrameLocks noChangeAspect="1"/>
            </wp:cNvGraphicFramePr>
            <a:graphic>
              <a:graphicData uri="http://schemas.openxmlformats.org/drawingml/2006/picture">
                <pic:pic>
                  <pic:nvPicPr>
                    <pic:cNvPr id="21" name="image19.png"/>
                    <pic:cNvPicPr/>
                  </pic:nvPicPr>
                  <pic:blipFill>
                    <a:blip r:embed="rId27" cstate="print"/>
                    <a:stretch>
                      <a:fillRect/>
                    </a:stretch>
                  </pic:blipFill>
                  <pic:spPr>
                    <a:xfrm>
                      <a:off x="0" y="0"/>
                      <a:ext cx="5943600" cy="396240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Cette analyse de marche, combinee a la presentation des outils de travail et des technologies retenues, confirme la pertinence d'une solution de gestion locative adaptee au contexte local. Le chapitre suivant presente la methodologie adoptee pour concevoir et realiser la plateforme.</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w:t>
      </w:r>
    </w:p>
    <w:p>
      <w:pPr>
        <w:jc w:val="center"/>
        <w:spacing w:before="120" w:after="120"/>
      </w:pPr>
      <w:r>
        <w:drawing>
          <wp:inline distT="0" distB="0" distL="0" distR="0">
            <wp:extent cx="5943600" cy="7688812"/>
            <wp:effectExtent l="0" t="0" r="0" b="0"/>
            <wp:docPr id="18" name="Picture 18"/>
            <wp:cNvGraphicFramePr>
              <a:graphicFrameLocks noChangeAspect="1"/>
            </wp:cNvGraphicFramePr>
            <a:graphic>
              <a:graphicData uri="http://schemas.openxmlformats.org/drawingml/2006/picture">
                <pic:pic>
                  <pic:nvPicPr>
                    <pic:cNvPr id="18" name="image1.png"/>
                    <pic:cNvPicPr/>
                  </pic:nvPicPr>
                  <pic:blipFill>
                    <a:blip r:embed="rId9" cstate="print"/>
                    <a:stretch>
                      <a:fillRect/>
                    </a:stretch>
                  </pic:blipFill>
                  <pic:spPr>
                    <a:xfrm>
                      <a:off x="0" y="0"/>
                      <a:ext cx="5943600" cy="7688812"/>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w:t>
      </w:r>
    </w:p>
    <w:p>
      <w:pPr>
        <w:jc w:val="center"/>
        <w:spacing w:before="120" w:after="120"/>
      </w:pPr>
      <w:r>
        <w:drawing>
          <wp:inline distT="0" distB="0" distL="0" distR="0">
            <wp:extent cx="5943600" cy="4044950"/>
            <wp:effectExtent l="0" t="0" r="0" b="0"/>
            <wp:docPr id="17" name="Picture 17"/>
            <wp:cNvGraphicFramePr>
              <a:graphicFrameLocks noChangeAspect="1"/>
            </wp:cNvGraphicFramePr>
            <a:graphic>
              <a:graphicData uri="http://schemas.openxmlformats.org/drawingml/2006/picture">
                <pic:pic>
                  <pic:nvPicPr>
                    <pic:cNvPr id="17" name="image2.png"/>
                    <pic:cNvPicPr/>
                  </pic:nvPicPr>
                  <pic:blipFill>
                    <a:blip r:embed="rId10" cstate="print"/>
                    <a:stretch>
                      <a:fillRect/>
                    </a:stretch>
                  </pic:blipFill>
                  <pic:spPr>
                    <a:xfrm>
                      <a:off x="0" y="0"/>
                      <a:ext cx="5943600" cy="40449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w:t>
      </w:r>
    </w:p>
    <w:p>
      <w:pPr>
        <w:jc w:val="center"/>
        <w:spacing w:before="120" w:after="120"/>
      </w:pPr>
      <w:r>
        <w:drawing>
          <wp:inline distT="0" distB="0" distL="0" distR="0">
            <wp:extent cx="5943600" cy="3422073"/>
            <wp:effectExtent l="0" t="0" r="0" b="0"/>
            <wp:docPr id="16" name="Picture 16"/>
            <wp:cNvGraphicFramePr>
              <a:graphicFrameLocks noChangeAspect="1"/>
            </wp:cNvGraphicFramePr>
            <a:graphic>
              <a:graphicData uri="http://schemas.openxmlformats.org/drawingml/2006/picture">
                <pic:pic>
                  <pic:nvPicPr>
                    <pic:cNvPr id="16" name="image3.png"/>
                    <pic:cNvPicPr/>
                  </pic:nvPicPr>
                  <pic:blipFill>
                    <a:blip r:embed="rId11" cstate="print"/>
                    <a:stretch>
                      <a:fillRect/>
                    </a:stretch>
                  </pic:blipFill>
                  <pic:spPr>
                    <a:xfrm>
                      <a:off x="0" y="0"/>
                      <a:ext cx="5943600" cy="342207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w:t>
      </w:r>
    </w:p>
    <w:p>
      <w:pPr>
        <w:jc w:val="center"/>
        <w:spacing w:before="120" w:after="120"/>
      </w:pPr>
      <w:r>
        <w:drawing>
          <wp:inline distT="0" distB="0" distL="0" distR="0">
            <wp:extent cx="5943600" cy="3193576"/>
            <wp:effectExtent l="0" t="0" r="0" b="0"/>
            <wp:docPr id="15" name="Picture 15"/>
            <wp:cNvGraphicFramePr>
              <a:graphicFrameLocks noChangeAspect="1"/>
            </wp:cNvGraphicFramePr>
            <a:graphic>
              <a:graphicData uri="http://schemas.openxmlformats.org/drawingml/2006/picture">
                <pic:pic>
                  <pic:nvPicPr>
                    <pic:cNvPr id="15" name="image4.png"/>
                    <pic:cNvPicPr/>
                  </pic:nvPicPr>
                  <pic:blipFill>
                    <a:blip r:embed="rId12" cstate="print"/>
                    <a:stretch>
                      <a:fillRect/>
                    </a:stretch>
                  </pic:blipFill>
                  <pic:spPr>
                    <a:xfrm>
                      <a:off x="0" y="0"/>
                      <a:ext cx="5943600" cy="3193576"/>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w:t>
      </w:r>
    </w:p>
    <w:p>
      <w:pPr>
        <w:jc w:val="center"/>
        <w:spacing w:before="120" w:after="120"/>
      </w:pPr>
      <w:r>
        <w:drawing>
          <wp:inline distT="0" distB="0" distL="0" distR="0">
            <wp:extent cx="5943600" cy="3703983"/>
            <wp:effectExtent l="0" t="0" r="0" b="0"/>
            <wp:docPr id="14" name="Picture 14"/>
            <wp:cNvGraphicFramePr>
              <a:graphicFrameLocks noChangeAspect="1"/>
            </wp:cNvGraphicFramePr>
            <a:graphic>
              <a:graphicData uri="http://schemas.openxmlformats.org/drawingml/2006/picture">
                <pic:pic>
                  <pic:nvPicPr>
                    <pic:cNvPr id="14" name="image5.pn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w:t>
      </w:r>
    </w:p>
    <w:p>
      <w:pPr>
        <w:jc w:val="center"/>
        <w:spacing w:before="120" w:after="120"/>
      </w:pPr>
      <w:r>
        <w:drawing>
          <wp:inline distT="0" distB="0" distL="0" distR="0">
            <wp:extent cx="5943600" cy="3273287"/>
            <wp:effectExtent l="0" t="0" r="0" b="0"/>
            <wp:docPr id="13" name="Picture 13"/>
            <wp:cNvGraphicFramePr>
              <a:graphicFrameLocks noChangeAspect="1"/>
            </wp:cNvGraphicFramePr>
            <a:graphic>
              <a:graphicData uri="http://schemas.openxmlformats.org/drawingml/2006/picture">
                <pic:pic>
                  <pic:nvPicPr>
                    <pic:cNvPr id="13" name="image6.png"/>
                    <pic:cNvPicPr/>
                  </pic:nvPicPr>
                  <pic:blipFill>
                    <a:blip r:embed="rId14"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w:t>
      </w:r>
    </w:p>
    <w:p>
      <w:pPr>
        <w:jc w:val="center"/>
        <w:spacing w:before="120" w:after="120"/>
      </w:pPr>
      <w:r>
        <w:drawing>
          <wp:inline distT="0" distB="0" distL="0" distR="0">
            <wp:extent cx="5943600" cy="4697361"/>
            <wp:effectExtent l="0" t="0" r="0" b="0"/>
            <wp:docPr id="12" name="Picture 12"/>
            <wp:cNvGraphicFramePr>
              <a:graphicFrameLocks noChangeAspect="1"/>
            </wp:cNvGraphicFramePr>
            <a:graphic>
              <a:graphicData uri="http://schemas.openxmlformats.org/drawingml/2006/picture">
                <pic:pic>
                  <pic:nvPicPr>
                    <pic:cNvPr id="12" name="image7.png"/>
                    <pic:cNvPicPr/>
                  </pic:nvPicPr>
                  <pic:blipFill>
                    <a:blip r:embed="rId15" cstate="print"/>
                    <a:stretch>
                      <a:fillRect/>
                    </a:stretch>
                  </pic:blipFill>
                  <pic:spPr>
                    <a:xfrm>
                      <a:off x="0" y="0"/>
                      <a:ext cx="5943600" cy="469736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w:t>
      </w:r>
    </w:p>
    <w:p>
      <w:pPr>
        <w:jc w:val="center"/>
        <w:spacing w:before="120" w:after="120"/>
      </w:pPr>
      <w:r>
        <w:drawing>
          <wp:inline distT="0" distB="0" distL="0" distR="0">
            <wp:extent cx="5943600" cy="4220817"/>
            <wp:effectExtent l="0" t="0" r="0" b="0"/>
            <wp:docPr id="11" name="Picture 11"/>
            <wp:cNvGraphicFramePr>
              <a:graphicFrameLocks noChangeAspect="1"/>
            </wp:cNvGraphicFramePr>
            <a:graphic>
              <a:graphicData uri="http://schemas.openxmlformats.org/drawingml/2006/picture">
                <pic:pic>
                  <pic:nvPicPr>
                    <pic:cNvPr id="11" name="image8.png"/>
                    <pic:cNvPicPr/>
                  </pic:nvPicPr>
                  <pic:blipFill>
                    <a:blip r:embed="rId16"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w:t>
      </w:r>
    </w:p>
    <w:p>
      <w:pPr>
        <w:jc w:val="center"/>
        <w:spacing w:before="120" w:after="120"/>
      </w:pPr>
      <w:r>
        <w:drawing>
          <wp:inline distT="0" distB="0" distL="0" distR="0">
            <wp:extent cx="5943600" cy="4353059"/>
            <wp:effectExtent l="0" t="0" r="0" b="0"/>
            <wp:docPr id="10" name="Picture 10"/>
            <wp:cNvGraphicFramePr>
              <a:graphicFrameLocks noChangeAspect="1"/>
            </wp:cNvGraphicFramePr>
            <a:graphic>
              <a:graphicData uri="http://schemas.openxmlformats.org/drawingml/2006/picture">
                <pic:pic>
                  <pic:nvPicPr>
                    <pic:cNvPr id="10" name="image9.pn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w:t>
      </w:r>
    </w:p>
    <w:p>
      <w:pPr>
        <w:jc w:val="center"/>
        <w:spacing w:before="120" w:after="120"/>
      </w:pPr>
      <w:r>
        <w:drawing>
          <wp:inline distT="0" distB="0" distL="0" distR="0">
            <wp:extent cx="5943600" cy="4220817"/>
            <wp:effectExtent l="0" t="0" r="0" b="0"/>
            <wp:docPr id="9" name="Picture 9"/>
            <wp:cNvGraphicFramePr>
              <a:graphicFrameLocks noChangeAspect="1"/>
            </wp:cNvGraphicFramePr>
            <a:graphic>
              <a:graphicData uri="http://schemas.openxmlformats.org/drawingml/2006/picture">
                <pic:pic>
                  <pic:nvPicPr>
                    <pic:cNvPr id="9" name="image10.png"/>
                    <pic:cNvPicPr/>
                  </pic:nvPicPr>
                  <pic:blipFill>
                    <a:blip r:embed="rId18"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w:t>
      </w:r>
    </w:p>
    <w:p>
      <w:pPr>
        <w:jc w:val="center"/>
        <w:spacing w:before="120" w:after="120"/>
      </w:pPr>
      <w:r>
        <w:drawing>
          <wp:inline distT="0" distB="0" distL="0" distR="0">
            <wp:extent cx="5943600" cy="3549650"/>
            <wp:effectExtent l="0" t="0" r="0" b="0"/>
            <wp:docPr id="8" name="Picture 8"/>
            <wp:cNvGraphicFramePr>
              <a:graphicFrameLocks noChangeAspect="1"/>
            </wp:cNvGraphicFramePr>
            <a:graphic>
              <a:graphicData uri="http://schemas.openxmlformats.org/drawingml/2006/picture">
                <pic:pic>
                  <pic:nvPicPr>
                    <pic:cNvPr id="8" name="image11.png"/>
                    <pic:cNvPicPr/>
                  </pic:nvPicPr>
                  <pic:blipFill>
                    <a:blip r:embed="rId19" cstate="print"/>
                    <a:stretch>
                      <a:fillRect/>
                    </a:stretch>
                  </pic:blipFill>
                  <pic:spPr>
                    <a:xfrm>
                      <a:off x="0" y="0"/>
                      <a:ext cx="5943600" cy="35496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w:t>
      </w:r>
    </w:p>
    <w:p>
      <w:pPr>
        <w:jc w:val="center"/>
        <w:spacing w:before="120" w:after="120"/>
      </w:pPr>
      <w:r>
        <w:drawing>
          <wp:inline distT="0" distB="0" distL="0" distR="0">
            <wp:extent cx="5943600" cy="3531704"/>
            <wp:effectExtent l="0" t="0" r="0" b="0"/>
            <wp:docPr id="7" name="Picture 7"/>
            <wp:cNvGraphicFramePr>
              <a:graphicFrameLocks noChangeAspect="1"/>
            </wp:cNvGraphicFramePr>
            <a:graphic>
              <a:graphicData uri="http://schemas.openxmlformats.org/drawingml/2006/picture">
                <pic:pic>
                  <pic:nvPicPr>
                    <pic:cNvPr id="7" name="image12.png"/>
                    <pic:cNvPicPr/>
                  </pic:nvPicPr>
                  <pic:blipFill>
                    <a:blip r:embed="rId20" cstate="print"/>
                    <a:stretch>
                      <a:fillRect/>
                    </a:stretch>
                  </pic:blipFill>
                  <pic:spPr>
                    <a:xfrm>
                      <a:off x="0" y="0"/>
                      <a:ext cx="5943600" cy="3531704"/>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w:t>
      </w:r>
    </w:p>
    <w:p>
      <w:pPr>
        <w:jc w:val="center"/>
        <w:spacing w:before="120" w:after="120"/>
      </w:pPr>
      <w:r>
        <w:drawing>
          <wp:inline distT="0" distB="0" distL="0" distR="0">
            <wp:extent cx="5943600" cy="3714750"/>
            <wp:effectExtent l="0" t="0" r="0" b="0"/>
            <wp:docPr id="6" name="Picture 6"/>
            <wp:cNvGraphicFramePr>
              <a:graphicFrameLocks noChangeAspect="1"/>
            </wp:cNvGraphicFramePr>
            <a:graphic>
              <a:graphicData uri="http://schemas.openxmlformats.org/drawingml/2006/picture">
                <pic:pic>
                  <pic:nvPicPr>
                    <pic:cNvPr id="6" name="image13.png"/>
                    <pic:cNvPicPr/>
                  </pic:nvPicPr>
                  <pic:blipFill>
                    <a:blip r:embed="rId21" cstate="print"/>
                    <a:stretch>
                      <a:fillRect/>
                    </a:stretch>
                  </pic:blipFill>
                  <pic:spPr>
                    <a:xfrm>
                      <a:off x="0" y="0"/>
                      <a:ext cx="5943600" cy="37147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w:t>
      </w:r>
    </w:p>
    <w:p>
      <w:pPr>
        <w:jc w:val="center"/>
        <w:spacing w:before="120" w:after="120"/>
      </w:pPr>
      <w:r>
        <w:drawing>
          <wp:inline distT="0" distB="0" distL="0" distR="0">
            <wp:extent cx="5943600" cy="3273287"/>
            <wp:effectExtent l="0" t="0" r="0" b="0"/>
            <wp:docPr id="5" name="Picture 5"/>
            <wp:cNvGraphicFramePr>
              <a:graphicFrameLocks noChangeAspect="1"/>
            </wp:cNvGraphicFramePr>
            <a:graphic>
              <a:graphicData uri="http://schemas.openxmlformats.org/drawingml/2006/picture">
                <pic:pic>
                  <pic:nvPicPr>
                    <pic:cNvPr id="5" name="image14.png"/>
                    <pic:cNvPicPr/>
                  </pic:nvPicPr>
                  <pic:blipFill>
                    <a:blip r:embed="rId22"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w:t>
      </w:r>
    </w:p>
    <w:p>
      <w:pPr>
        <w:jc w:val="center"/>
        <w:spacing w:before="120" w:after="120"/>
      </w:pPr>
      <w:r>
        <w:drawing>
          <wp:inline distT="0" distB="0" distL="0" distR="0">
            <wp:extent cx="5943600" cy="3935627"/>
            <wp:effectExtent l="0" t="0" r="0" b="0"/>
            <wp:docPr id="4" name="Picture 4"/>
            <wp:cNvGraphicFramePr>
              <a:graphicFrameLocks noChangeAspect="1"/>
            </wp:cNvGraphicFramePr>
            <a:graphic>
              <a:graphicData uri="http://schemas.openxmlformats.org/drawingml/2006/picture">
                <pic:pic>
                  <pic:nvPicPr>
                    <pic:cNvPr id="4" name="image15.png"/>
                    <pic:cNvPicPr/>
                  </pic:nvPicPr>
                  <pic:blipFill>
                    <a:blip r:embed="rId23" cstate="print"/>
                    <a:stretch>
                      <a:fillRect/>
                    </a:stretch>
                  </pic:blipFill>
                  <pic:spPr>
                    <a:xfrm>
                      <a:off x="0" y="0"/>
                      <a:ext cx="5943600" cy="393562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w:t>
      </w:r>
    </w:p>
    <w:p>
      <w:pPr>
        <w:jc w:val="center"/>
        <w:spacing w:before="120" w:after="120"/>
      </w:pPr>
      <w:r>
        <w:drawing>
          <wp:inline distT="0" distB="0" distL="0" distR="0">
            <wp:extent cx="5943600" cy="3908121"/>
            <wp:effectExtent l="0" t="0" r="0" b="0"/>
            <wp:docPr id="3" name="Picture 3"/>
            <wp:cNvGraphicFramePr>
              <a:graphicFrameLocks noChangeAspect="1"/>
            </wp:cNvGraphicFramePr>
            <a:graphic>
              <a:graphicData uri="http://schemas.openxmlformats.org/drawingml/2006/picture">
                <pic:pic>
                  <pic:nvPicPr>
                    <pic:cNvPr id="3" name="image16.png"/>
                    <pic:cNvPicPr/>
                  </pic:nvPicPr>
                  <pic:blipFill>
                    <a:blip r:embed="rId24" cstate="print"/>
                    <a:stretch>
                      <a:fillRect/>
                    </a:stretch>
                  </pic:blipFill>
                  <pic:spPr>
                    <a:xfrm>
                      <a:off x="0" y="0"/>
                      <a:ext cx="5943600" cy="390812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w:t>
      </w:r>
    </w:p>
    <w:p>
      <w:pPr>
        <w:jc w:val="center"/>
        <w:spacing w:before="120" w:after="120"/>
      </w:pPr>
      <w:r>
        <w:drawing>
          <wp:inline distT="0" distB="0" distL="0" distR="0">
            <wp:extent cx="5943600" cy="3703983"/>
            <wp:effectExtent l="0" t="0" r="0" b="0"/>
            <wp:docPr id="2" name="Picture 2"/>
            <wp:cNvGraphicFramePr>
              <a:graphicFrameLocks noChangeAspect="1"/>
            </wp:cNvGraphicFramePr>
            <a:graphic>
              <a:graphicData uri="http://schemas.openxmlformats.org/drawingml/2006/picture">
                <pic:pic>
                  <pic:nvPicPr>
                    <pic:cNvPr id="2" name="image5.pn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w:t>
      </w:r>
    </w:p>
    <w:p>
      <w:pPr>
        <w:jc w:val="center"/>
        <w:spacing w:before="120" w:after="120"/>
      </w:pPr>
      <w:r>
        <w:drawing>
          <wp:inline distT="0" distB="0" distL="0" distR="0">
            <wp:extent cx="5943600" cy="4353059"/>
            <wp:effectExtent l="0" t="0" r="0" b="0"/>
            <wp:docPr id="1" name="Picture 1"/>
            <wp:cNvGraphicFramePr>
              <a:graphicFrameLocks noChangeAspect="1"/>
            </wp:cNvGraphicFramePr>
            <a:graphic>
              <a:graphicData uri="http://schemas.openxmlformats.org/drawingml/2006/picture">
                <pic:pic>
                  <pic:nvPicPr>
                    <pic:cNvPr id="1" name="image9.pn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0"/>
      </w:pBdr>
      <w:tabs>
        <w:tab w:val="right" w:pos="8500"/>
      </w:tabs>
      <w:spacing w:after="100"/>
    </w:pPr>
    <w:r>
      <w:rPr>
        <w:rFonts w:ascii="Arial" w:cs="Arial" w:eastAsia="Arial" w:hAnsi="Arial"/>
        <w:color w:val="555555"/>
        <w:sz w:val="18"/>
        <w:szCs w:val="18"/>
      </w:rPr>
      <w:t xml:space="preserve">KYA — Plateforme de Gestion Locative Multi-Roles</w:t>
    </w:r>
    <w:r>
      <w:rPr>
        <w:sz w:val="18"/>
        <w:szCs w:val="18"/>
      </w:rPr>
      <w:t xml:space="preserve">	</w:t>
    </w:r>
    <w:r>
      <w:rPr>
        <w:rFonts w:ascii="Arial" w:cs="Arial" w:eastAsia="Arial" w:hAnsi="Arial"/>
        <w:color w:val="555555"/>
        <w:sz w:val="18"/>
        <w:szCs w:val="18"/>
      </w:rPr>
      <w:t xml:space="preserve">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header" Target="header1.xml" /><ns0:Relationship Id="rId7" Type="http://schemas.openxmlformats.org/officeDocument/2006/relationships/footer" Target="footer1.xml" /><ns0:Relationship Id="rId8" Type="http://schemas.openxmlformats.org/officeDocument/2006/relationships/fontTable" Target="fontTable.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