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679" w:rsidRPr="00082679" w:rsidRDefault="00082679" w:rsidP="00082679">
      <w:pPr>
        <w:jc w:val="center"/>
        <w:rPr>
          <w:rFonts w:ascii="Times New Roman" w:eastAsia="Times New Roman" w:hAnsi="Times New Roman" w:cs="Times New Roman"/>
          <w:b/>
          <w:sz w:val="28"/>
          <w:szCs w:val="28"/>
        </w:rPr>
      </w:pPr>
      <w:proofErr w:type="spellStart"/>
      <w:r w:rsidRPr="00082679">
        <w:rPr>
          <w:rFonts w:ascii="Times New Roman" w:eastAsia="Times New Roman" w:hAnsi="Times New Roman" w:cs="Times New Roman"/>
          <w:b/>
          <w:sz w:val="28"/>
          <w:szCs w:val="28"/>
        </w:rPr>
        <w:t>NA_mCNN</w:t>
      </w:r>
      <w:proofErr w:type="spellEnd"/>
      <w:r w:rsidRPr="00082679">
        <w:rPr>
          <w:rFonts w:ascii="Times New Roman" w:eastAsia="Times New Roman" w:hAnsi="Times New Roman" w:cs="Times New Roman"/>
          <w:b/>
          <w:sz w:val="28"/>
          <w:szCs w:val="28"/>
        </w:rPr>
        <w:t>: Classification of Sodium Transporters in Membrane Proteins by Integrating Multi-Window Deep Learning and ProtTrans for Their Therapeutic Potential</w:t>
      </w:r>
    </w:p>
    <w:p w:rsidR="00082679" w:rsidRPr="00082679" w:rsidRDefault="00082679" w:rsidP="00082679">
      <w:pPr>
        <w:jc w:val="center"/>
        <w:rPr>
          <w:rFonts w:ascii="Times New Roman" w:eastAsia="Times New Roman" w:hAnsi="Times New Roman" w:cs="Times New Roman"/>
          <w:sz w:val="24"/>
          <w:szCs w:val="24"/>
          <w:vertAlign w:val="superscript"/>
        </w:rPr>
      </w:pPr>
      <w:r w:rsidRPr="00082679">
        <w:rPr>
          <w:rFonts w:ascii="Times New Roman" w:eastAsia="Times New Roman" w:hAnsi="Times New Roman" w:cs="Times New Roman"/>
          <w:sz w:val="24"/>
          <w:szCs w:val="24"/>
        </w:rPr>
        <w:t xml:space="preserve">Muhammad </w:t>
      </w:r>
      <w:proofErr w:type="spellStart"/>
      <w:r w:rsidRPr="00082679">
        <w:rPr>
          <w:rFonts w:ascii="Times New Roman" w:eastAsia="Times New Roman" w:hAnsi="Times New Roman" w:cs="Times New Roman"/>
          <w:sz w:val="24"/>
          <w:szCs w:val="24"/>
        </w:rPr>
        <w:t>Shahid</w:t>
      </w:r>
      <w:proofErr w:type="spellEnd"/>
      <w:r w:rsidRPr="00082679">
        <w:rPr>
          <w:rFonts w:ascii="Times New Roman" w:eastAsia="Times New Roman" w:hAnsi="Times New Roman" w:cs="Times New Roman"/>
          <w:sz w:val="24"/>
          <w:szCs w:val="24"/>
        </w:rPr>
        <w:t xml:space="preserve"> Malik,</w:t>
      </w:r>
      <w:r w:rsidRPr="00082679">
        <w:rPr>
          <w:rFonts w:ascii="Times New Roman" w:eastAsia="Times New Roman" w:hAnsi="Times New Roman" w:cs="Times New Roman"/>
          <w:sz w:val="24"/>
          <w:szCs w:val="24"/>
          <w:vertAlign w:val="superscript"/>
        </w:rPr>
        <w:t>1,3</w:t>
      </w:r>
      <w:r w:rsidRPr="00082679">
        <w:rPr>
          <w:rFonts w:ascii="Times New Roman" w:eastAsia="Times New Roman" w:hAnsi="Times New Roman" w:cs="Times New Roman"/>
          <w:sz w:val="24"/>
          <w:szCs w:val="24"/>
        </w:rPr>
        <w:t xml:space="preserve"> Van The Le,</w:t>
      </w:r>
      <w:r w:rsidRPr="00082679">
        <w:rPr>
          <w:rFonts w:ascii="Times New Roman" w:eastAsia="Times New Roman" w:hAnsi="Times New Roman" w:cs="Times New Roman"/>
          <w:sz w:val="24"/>
          <w:szCs w:val="24"/>
          <w:vertAlign w:val="superscript"/>
        </w:rPr>
        <w:t>1</w:t>
      </w:r>
      <w:r w:rsidRPr="00082679">
        <w:rPr>
          <w:rFonts w:ascii="Times New Roman" w:eastAsia="Times New Roman" w:hAnsi="Times New Roman" w:cs="Times New Roman"/>
          <w:sz w:val="24"/>
          <w:szCs w:val="24"/>
        </w:rPr>
        <w:t xml:space="preserve"> Yu-Yen Ou,</w:t>
      </w:r>
      <w:r w:rsidRPr="00082679">
        <w:rPr>
          <w:rFonts w:ascii="Times New Roman" w:eastAsia="Times New Roman" w:hAnsi="Times New Roman" w:cs="Times New Roman"/>
          <w:sz w:val="24"/>
          <w:szCs w:val="24"/>
          <w:vertAlign w:val="superscript"/>
        </w:rPr>
        <w:t>1,2*</w:t>
      </w:r>
    </w:p>
    <w:p w:rsidR="00082679" w:rsidRPr="00082679" w:rsidRDefault="00082679" w:rsidP="000826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82679">
        <w:rPr>
          <w:rFonts w:ascii="Times New Roman" w:eastAsia="Times New Roman" w:hAnsi="Times New Roman" w:cs="Times New Roman"/>
          <w:color w:val="000000"/>
          <w:sz w:val="24"/>
          <w:szCs w:val="24"/>
          <w:vertAlign w:val="superscript"/>
        </w:rPr>
        <w:t xml:space="preserve">1 </w:t>
      </w:r>
      <w:r w:rsidRPr="00082679">
        <w:rPr>
          <w:rFonts w:ascii="Times New Roman" w:eastAsia="Times New Roman" w:hAnsi="Times New Roman" w:cs="Times New Roman"/>
          <w:color w:val="000000"/>
          <w:sz w:val="24"/>
          <w:szCs w:val="24"/>
        </w:rPr>
        <w:t xml:space="preserve">Department of Computer Science and Engineering, Yuan </w:t>
      </w:r>
      <w:proofErr w:type="spellStart"/>
      <w:r w:rsidRPr="00082679">
        <w:rPr>
          <w:rFonts w:ascii="Times New Roman" w:eastAsia="Times New Roman" w:hAnsi="Times New Roman" w:cs="Times New Roman"/>
          <w:color w:val="000000"/>
          <w:sz w:val="24"/>
          <w:szCs w:val="24"/>
        </w:rPr>
        <w:t>Ze</w:t>
      </w:r>
      <w:proofErr w:type="spellEnd"/>
      <w:r w:rsidRPr="00082679">
        <w:rPr>
          <w:rFonts w:ascii="Times New Roman" w:eastAsia="Times New Roman" w:hAnsi="Times New Roman" w:cs="Times New Roman"/>
          <w:color w:val="000000"/>
          <w:sz w:val="24"/>
          <w:szCs w:val="24"/>
        </w:rPr>
        <w:t xml:space="preserve"> University, Chung-Li- 32003, Taiwan</w:t>
      </w:r>
    </w:p>
    <w:p w:rsidR="00082679" w:rsidRPr="00082679" w:rsidRDefault="00082679" w:rsidP="000826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82679">
        <w:rPr>
          <w:rFonts w:ascii="Times New Roman" w:eastAsia="Times New Roman" w:hAnsi="Times New Roman" w:cs="Times New Roman"/>
          <w:color w:val="000000"/>
          <w:sz w:val="24"/>
          <w:szCs w:val="24"/>
          <w:vertAlign w:val="superscript"/>
        </w:rPr>
        <w:t>2</w:t>
      </w:r>
      <w:r w:rsidRPr="00082679">
        <w:rPr>
          <w:rFonts w:ascii="Times New Roman" w:eastAsia="Times New Roman" w:hAnsi="Times New Roman" w:cs="Times New Roman"/>
          <w:color w:val="000000"/>
          <w:sz w:val="24"/>
          <w:szCs w:val="24"/>
        </w:rPr>
        <w:t xml:space="preserve"> Graduate Program in Biomedical Informatics, Yuan </w:t>
      </w:r>
      <w:proofErr w:type="spellStart"/>
      <w:r w:rsidRPr="00082679">
        <w:rPr>
          <w:rFonts w:ascii="Times New Roman" w:eastAsia="Times New Roman" w:hAnsi="Times New Roman" w:cs="Times New Roman"/>
          <w:color w:val="000000"/>
          <w:sz w:val="24"/>
          <w:szCs w:val="24"/>
        </w:rPr>
        <w:t>Ze</w:t>
      </w:r>
      <w:proofErr w:type="spellEnd"/>
      <w:r w:rsidRPr="00082679">
        <w:rPr>
          <w:rFonts w:ascii="Times New Roman" w:eastAsia="Times New Roman" w:hAnsi="Times New Roman" w:cs="Times New Roman"/>
          <w:color w:val="000000"/>
          <w:sz w:val="24"/>
          <w:szCs w:val="24"/>
        </w:rPr>
        <w:t xml:space="preserve"> University, Chung-Li- 32003, Taiwan</w:t>
      </w:r>
    </w:p>
    <w:p w:rsidR="00082679" w:rsidRPr="00082679" w:rsidRDefault="00082679" w:rsidP="000826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82679">
        <w:rPr>
          <w:rFonts w:ascii="Times New Roman" w:eastAsia="Times New Roman" w:hAnsi="Times New Roman" w:cs="Times New Roman"/>
          <w:color w:val="000000"/>
          <w:sz w:val="24"/>
          <w:szCs w:val="24"/>
          <w:vertAlign w:val="superscript"/>
        </w:rPr>
        <w:t>3</w:t>
      </w:r>
      <w:r w:rsidRPr="00082679">
        <w:rPr>
          <w:rFonts w:ascii="Times New Roman" w:eastAsia="Times New Roman" w:hAnsi="Times New Roman" w:cs="Times New Roman"/>
          <w:color w:val="000000"/>
          <w:sz w:val="24"/>
          <w:szCs w:val="24"/>
        </w:rPr>
        <w:t xml:space="preserve"> Department of Computer Sciences, Karakoram International University, </w:t>
      </w:r>
      <w:proofErr w:type="spellStart"/>
      <w:r w:rsidRPr="00082679">
        <w:rPr>
          <w:rFonts w:ascii="Times New Roman" w:eastAsia="Times New Roman" w:hAnsi="Times New Roman" w:cs="Times New Roman"/>
          <w:color w:val="000000"/>
          <w:sz w:val="24"/>
          <w:szCs w:val="24"/>
        </w:rPr>
        <w:t>Gilgit</w:t>
      </w:r>
      <w:proofErr w:type="spellEnd"/>
      <w:r w:rsidRPr="00082679">
        <w:rPr>
          <w:rFonts w:ascii="Times New Roman" w:eastAsia="Times New Roman" w:hAnsi="Times New Roman" w:cs="Times New Roman"/>
          <w:color w:val="000000"/>
          <w:sz w:val="24"/>
          <w:szCs w:val="24"/>
        </w:rPr>
        <w:t>-Baltistan -15100, Pakistan</w:t>
      </w:r>
    </w:p>
    <w:p w:rsidR="00082679" w:rsidRPr="00082679" w:rsidRDefault="00082679" w:rsidP="000826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82679" w:rsidRPr="00082679" w:rsidRDefault="00082679" w:rsidP="000826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82679">
        <w:rPr>
          <w:rFonts w:ascii="Times New Roman" w:eastAsia="Times New Roman" w:hAnsi="Times New Roman" w:cs="Times New Roman"/>
          <w:color w:val="000000"/>
          <w:sz w:val="24"/>
          <w:szCs w:val="24"/>
        </w:rPr>
        <w:t>*Corresponding author: yien@saturn.yzu.edu.tw</w:t>
      </w:r>
    </w:p>
    <w:p w:rsidR="004F071B" w:rsidRDefault="004F071B" w:rsidP="000E5329">
      <w:pPr>
        <w:jc w:val="both"/>
        <w:rPr>
          <w:rFonts w:ascii="Times New Roman" w:eastAsia="Times New Roman" w:hAnsi="Times New Roman" w:cs="Times New Roman"/>
          <w:b/>
          <w:noProof/>
          <w:sz w:val="32"/>
          <w:szCs w:val="20"/>
        </w:rPr>
      </w:pPr>
    </w:p>
    <w:p w:rsidR="009B015B" w:rsidRPr="009B015B" w:rsidRDefault="009B015B" w:rsidP="009B015B">
      <w:pPr>
        <w:spacing w:before="100" w:beforeAutospacing="1" w:after="100" w:afterAutospacing="1" w:line="240" w:lineRule="auto"/>
        <w:outlineLvl w:val="2"/>
        <w:rPr>
          <w:rFonts w:ascii="Times New Roman" w:eastAsia="Times New Roman" w:hAnsi="Times New Roman" w:cs="Times New Roman"/>
          <w:b/>
          <w:bCs/>
          <w:sz w:val="26"/>
          <w:szCs w:val="26"/>
        </w:rPr>
      </w:pPr>
      <w:r w:rsidRPr="008675A4">
        <w:rPr>
          <w:rFonts w:ascii="Times New Roman" w:eastAsia="Times New Roman" w:hAnsi="Times New Roman" w:cs="Times New Roman"/>
          <w:b/>
          <w:bCs/>
          <w:sz w:val="26"/>
          <w:szCs w:val="26"/>
        </w:rPr>
        <w:t>Table of Contents</w:t>
      </w:r>
    </w:p>
    <w:p w:rsidR="009B015B" w:rsidRPr="009B015B" w:rsidRDefault="009B015B" w:rsidP="009B01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EA">
        <w:rPr>
          <w:rFonts w:ascii="Times New Roman" w:eastAsia="Times New Roman" w:hAnsi="Times New Roman" w:cs="Times New Roman"/>
          <w:b/>
          <w:bCs/>
          <w:sz w:val="24"/>
          <w:szCs w:val="24"/>
        </w:rPr>
        <w:t>Supplementary Material S1:</w:t>
      </w:r>
      <w:r w:rsidRPr="009B015B">
        <w:rPr>
          <w:rFonts w:ascii="Times New Roman" w:eastAsia="Times New Roman" w:hAnsi="Times New Roman" w:cs="Times New Roman"/>
          <w:sz w:val="24"/>
          <w:szCs w:val="24"/>
        </w:rPr>
        <w:br/>
        <w:t>UniProt query for sodium transporters</w:t>
      </w:r>
    </w:p>
    <w:p w:rsidR="009B015B" w:rsidRPr="009B015B" w:rsidRDefault="009B015B" w:rsidP="009B01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EA">
        <w:rPr>
          <w:rFonts w:ascii="Times New Roman" w:eastAsia="Times New Roman" w:hAnsi="Times New Roman" w:cs="Times New Roman"/>
          <w:b/>
          <w:bCs/>
          <w:sz w:val="24"/>
          <w:szCs w:val="24"/>
        </w:rPr>
        <w:t>Supplementary Material S2:</w:t>
      </w:r>
      <w:r w:rsidRPr="009B015B">
        <w:rPr>
          <w:rFonts w:ascii="Times New Roman" w:eastAsia="Times New Roman" w:hAnsi="Times New Roman" w:cs="Times New Roman"/>
          <w:sz w:val="24"/>
          <w:szCs w:val="24"/>
        </w:rPr>
        <w:br/>
        <w:t>Membrane protein dataset collection details</w:t>
      </w:r>
    </w:p>
    <w:p w:rsidR="009B015B" w:rsidRPr="009B015B" w:rsidRDefault="009B015B" w:rsidP="009B01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EA">
        <w:rPr>
          <w:rFonts w:ascii="Times New Roman" w:eastAsia="Times New Roman" w:hAnsi="Times New Roman" w:cs="Times New Roman"/>
          <w:b/>
          <w:bCs/>
          <w:sz w:val="24"/>
          <w:szCs w:val="24"/>
        </w:rPr>
        <w:t>Supplementary Material S3:</w:t>
      </w:r>
      <w:r w:rsidRPr="009B015B">
        <w:rPr>
          <w:rFonts w:ascii="Times New Roman" w:eastAsia="Times New Roman" w:hAnsi="Times New Roman" w:cs="Times New Roman"/>
          <w:sz w:val="24"/>
          <w:szCs w:val="24"/>
        </w:rPr>
        <w:br/>
      </w:r>
      <w:r w:rsidRPr="00B802EA">
        <w:rPr>
          <w:rFonts w:ascii="Times New Roman" w:eastAsia="Times New Roman" w:hAnsi="Times New Roman" w:cs="Times New Roman"/>
          <w:b/>
          <w:bCs/>
          <w:sz w:val="24"/>
          <w:szCs w:val="24"/>
        </w:rPr>
        <w:t>Table S1</w:t>
      </w:r>
      <w:r w:rsidRPr="009B015B">
        <w:rPr>
          <w:rFonts w:ascii="Times New Roman" w:eastAsia="Times New Roman" w:hAnsi="Times New Roman" w:cs="Times New Roman"/>
          <w:sz w:val="24"/>
          <w:szCs w:val="24"/>
        </w:rPr>
        <w:t xml:space="preserve"> – Summary of dataset statistics</w:t>
      </w:r>
    </w:p>
    <w:p w:rsidR="009B015B" w:rsidRPr="009B015B" w:rsidRDefault="009B015B" w:rsidP="009B01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EA">
        <w:rPr>
          <w:rFonts w:ascii="Times New Roman" w:eastAsia="Times New Roman" w:hAnsi="Times New Roman" w:cs="Times New Roman"/>
          <w:b/>
          <w:bCs/>
          <w:sz w:val="24"/>
          <w:szCs w:val="24"/>
        </w:rPr>
        <w:t>Supplementary Material S4:</w:t>
      </w:r>
      <w:r w:rsidRPr="009B015B">
        <w:rPr>
          <w:rFonts w:ascii="Times New Roman" w:eastAsia="Times New Roman" w:hAnsi="Times New Roman" w:cs="Times New Roman"/>
          <w:sz w:val="24"/>
          <w:szCs w:val="24"/>
        </w:rPr>
        <w:br/>
        <w:t>Sequence length selection rationale and methodology</w:t>
      </w:r>
      <w:bookmarkStart w:id="0" w:name="_GoBack"/>
      <w:bookmarkEnd w:id="0"/>
    </w:p>
    <w:p w:rsidR="009B015B" w:rsidRPr="009B015B" w:rsidRDefault="009B015B" w:rsidP="009B01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EA">
        <w:rPr>
          <w:rFonts w:ascii="Times New Roman" w:eastAsia="Times New Roman" w:hAnsi="Times New Roman" w:cs="Times New Roman"/>
          <w:b/>
          <w:bCs/>
          <w:sz w:val="24"/>
          <w:szCs w:val="24"/>
        </w:rPr>
        <w:t>Supplementary Material S5:</w:t>
      </w:r>
      <w:r w:rsidRPr="009B015B">
        <w:rPr>
          <w:rFonts w:ascii="Times New Roman" w:eastAsia="Times New Roman" w:hAnsi="Times New Roman" w:cs="Times New Roman"/>
          <w:sz w:val="24"/>
          <w:szCs w:val="24"/>
        </w:rPr>
        <w:br/>
        <w:t>CD-HIT clustering strategy and its impact on dataset integrity</w:t>
      </w:r>
    </w:p>
    <w:p w:rsidR="004F071B" w:rsidRDefault="004F071B" w:rsidP="000E5329">
      <w:pPr>
        <w:jc w:val="both"/>
        <w:rPr>
          <w:rFonts w:ascii="Times New Roman" w:eastAsia="Times New Roman" w:hAnsi="Times New Roman" w:cs="Times New Roman"/>
          <w:b/>
          <w:noProof/>
          <w:sz w:val="32"/>
          <w:szCs w:val="20"/>
        </w:rPr>
      </w:pPr>
    </w:p>
    <w:p w:rsidR="004F071B" w:rsidRDefault="004F071B" w:rsidP="000E5329">
      <w:pPr>
        <w:jc w:val="both"/>
        <w:rPr>
          <w:rFonts w:ascii="Times New Roman" w:eastAsia="Times New Roman" w:hAnsi="Times New Roman" w:cs="Times New Roman"/>
          <w:b/>
          <w:noProof/>
          <w:sz w:val="32"/>
          <w:szCs w:val="20"/>
        </w:rPr>
      </w:pPr>
    </w:p>
    <w:p w:rsidR="004F071B" w:rsidRDefault="004F071B" w:rsidP="000E5329">
      <w:pPr>
        <w:jc w:val="both"/>
        <w:rPr>
          <w:rFonts w:ascii="Times New Roman" w:eastAsia="Times New Roman" w:hAnsi="Times New Roman" w:cs="Times New Roman"/>
          <w:b/>
          <w:noProof/>
          <w:sz w:val="32"/>
          <w:szCs w:val="20"/>
        </w:rPr>
      </w:pPr>
    </w:p>
    <w:p w:rsidR="004F071B" w:rsidRDefault="004F071B" w:rsidP="000E5329">
      <w:pPr>
        <w:jc w:val="both"/>
        <w:rPr>
          <w:rFonts w:ascii="Times New Roman" w:eastAsia="Times New Roman" w:hAnsi="Times New Roman" w:cs="Times New Roman"/>
          <w:b/>
          <w:noProof/>
          <w:sz w:val="32"/>
          <w:szCs w:val="20"/>
        </w:rPr>
      </w:pPr>
    </w:p>
    <w:p w:rsidR="009B015B" w:rsidRDefault="009B015B" w:rsidP="000E5329">
      <w:pPr>
        <w:jc w:val="both"/>
        <w:rPr>
          <w:rFonts w:ascii="Times New Roman" w:eastAsia="Times New Roman" w:hAnsi="Times New Roman" w:cs="Times New Roman"/>
          <w:b/>
          <w:noProof/>
          <w:sz w:val="32"/>
          <w:szCs w:val="20"/>
        </w:rPr>
      </w:pPr>
    </w:p>
    <w:p w:rsidR="009B015B" w:rsidRDefault="009B015B" w:rsidP="000E5329">
      <w:pPr>
        <w:jc w:val="both"/>
        <w:rPr>
          <w:rFonts w:ascii="Times New Roman" w:eastAsia="Times New Roman" w:hAnsi="Times New Roman" w:cs="Times New Roman"/>
          <w:b/>
          <w:noProof/>
          <w:sz w:val="32"/>
          <w:szCs w:val="20"/>
        </w:rPr>
      </w:pPr>
    </w:p>
    <w:p w:rsidR="009B015B" w:rsidRDefault="009B015B" w:rsidP="000E5329">
      <w:pPr>
        <w:jc w:val="both"/>
        <w:rPr>
          <w:rFonts w:ascii="Times New Roman" w:eastAsia="Times New Roman" w:hAnsi="Times New Roman" w:cs="Times New Roman"/>
          <w:b/>
          <w:noProof/>
          <w:sz w:val="32"/>
          <w:szCs w:val="20"/>
        </w:rPr>
      </w:pPr>
    </w:p>
    <w:p w:rsidR="009B015B" w:rsidRDefault="009B015B" w:rsidP="000E5329">
      <w:pPr>
        <w:jc w:val="both"/>
        <w:rPr>
          <w:rFonts w:ascii="Times New Roman" w:eastAsia="Times New Roman" w:hAnsi="Times New Roman" w:cs="Times New Roman"/>
          <w:b/>
          <w:noProof/>
          <w:sz w:val="32"/>
          <w:szCs w:val="20"/>
        </w:rPr>
      </w:pPr>
    </w:p>
    <w:p w:rsidR="004F071B" w:rsidRDefault="004F071B" w:rsidP="000E5329">
      <w:pPr>
        <w:jc w:val="both"/>
        <w:rPr>
          <w:rFonts w:ascii="Times New Roman" w:eastAsia="Times New Roman" w:hAnsi="Times New Roman" w:cs="Times New Roman"/>
          <w:b/>
          <w:noProof/>
          <w:sz w:val="32"/>
          <w:szCs w:val="20"/>
        </w:rPr>
      </w:pPr>
    </w:p>
    <w:p w:rsidR="007E7759" w:rsidRPr="000E5329" w:rsidRDefault="007E7759" w:rsidP="000E5329">
      <w:pPr>
        <w:jc w:val="both"/>
        <w:rPr>
          <w:rFonts w:ascii="Times New Roman" w:hAnsi="Times New Roman" w:cs="Times New Roman"/>
          <w:b/>
          <w:sz w:val="24"/>
          <w:szCs w:val="24"/>
        </w:rPr>
      </w:pPr>
      <w:r w:rsidRPr="000E5329">
        <w:rPr>
          <w:rFonts w:ascii="Times New Roman" w:hAnsi="Times New Roman" w:cs="Times New Roman"/>
          <w:b/>
          <w:sz w:val="24"/>
          <w:szCs w:val="24"/>
        </w:rPr>
        <w:lastRenderedPageBreak/>
        <w:t>Supplementary Material S1:</w:t>
      </w:r>
    </w:p>
    <w:p w:rsidR="00C32DAE" w:rsidRPr="000E5329" w:rsidRDefault="00C32DAE" w:rsidP="000E5329">
      <w:pPr>
        <w:jc w:val="both"/>
        <w:rPr>
          <w:rFonts w:ascii="Times New Roman" w:hAnsi="Times New Roman" w:cs="Times New Roman"/>
          <w:b/>
          <w:sz w:val="24"/>
          <w:szCs w:val="24"/>
        </w:rPr>
      </w:pPr>
      <w:r w:rsidRPr="000E5329">
        <w:rPr>
          <w:rFonts w:ascii="Times New Roman" w:hAnsi="Times New Roman" w:cs="Times New Roman"/>
          <w:b/>
          <w:sz w:val="24"/>
          <w:szCs w:val="24"/>
        </w:rPr>
        <w:t>UniProt Query for Sodium Transporters</w:t>
      </w:r>
      <w:r w:rsidRPr="000E5329">
        <w:rPr>
          <w:rFonts w:ascii="Times New Roman" w:hAnsi="Times New Roman" w:cs="Times New Roman"/>
          <w:b/>
          <w:sz w:val="24"/>
          <w:szCs w:val="24"/>
        </w:rPr>
        <w:t>:</w:t>
      </w:r>
    </w:p>
    <w:p w:rsidR="00B81CB0" w:rsidRPr="00EE0E83" w:rsidRDefault="0074153C" w:rsidP="00836EC9">
      <w:pPr>
        <w:contextualSpacing/>
        <w:jc w:val="both"/>
        <w:rPr>
          <w:rFonts w:ascii="Times New Roman" w:hAnsi="Times New Roman" w:cs="Times New Roman"/>
          <w:sz w:val="24"/>
          <w:szCs w:val="24"/>
        </w:rPr>
      </w:pPr>
      <w:r w:rsidRPr="00EE0E83">
        <w:rPr>
          <w:rFonts w:ascii="Times New Roman" w:hAnsi="Times New Roman" w:cs="Times New Roman"/>
          <w:sz w:val="24"/>
          <w:szCs w:val="24"/>
        </w:rPr>
        <w:t>In this study, we collected data on sodium transporters and membrane proteins from UniProt using the following query</w:t>
      </w:r>
      <w:r w:rsidR="00333C99" w:rsidRPr="00EE0E83">
        <w:rPr>
          <w:rFonts w:ascii="Times New Roman" w:hAnsi="Times New Roman" w:cs="Times New Roman"/>
          <w:sz w:val="24"/>
          <w:szCs w:val="24"/>
        </w:rPr>
        <w:t>:</w:t>
      </w:r>
    </w:p>
    <w:p w:rsidR="00395C58" w:rsidRPr="00EE0E83" w:rsidRDefault="00DE0840" w:rsidP="00836EC9">
      <w:pPr>
        <w:jc w:val="both"/>
        <w:rPr>
          <w:rFonts w:ascii="Times New Roman" w:hAnsi="Times New Roman" w:cs="Times New Roman"/>
          <w:sz w:val="24"/>
          <w:szCs w:val="24"/>
        </w:rPr>
      </w:pPr>
      <w:r w:rsidRPr="00EE0E83">
        <w:rPr>
          <w:rFonts w:ascii="Times New Roman" w:hAnsi="Times New Roman" w:cs="Times New Roman"/>
          <w:sz w:val="24"/>
          <w:szCs w:val="24"/>
        </w:rPr>
        <w:t xml:space="preserve"> </w:t>
      </w:r>
      <w:r w:rsidR="00B81CB0" w:rsidRPr="00EE0E83">
        <w:rPr>
          <w:rFonts w:ascii="Times New Roman" w:hAnsi="Times New Roman" w:cs="Times New Roman"/>
          <w:sz w:val="24"/>
          <w:szCs w:val="24"/>
        </w:rPr>
        <w:t>(cc_scl_term:SL-0162) AND (keyword:KW-0739) AND (</w:t>
      </w:r>
      <w:proofErr w:type="spellStart"/>
      <w:proofErr w:type="gramStart"/>
      <w:r w:rsidR="00B81CB0" w:rsidRPr="00EE0E83">
        <w:rPr>
          <w:rFonts w:ascii="Times New Roman" w:hAnsi="Times New Roman" w:cs="Times New Roman"/>
          <w:sz w:val="24"/>
          <w:szCs w:val="24"/>
        </w:rPr>
        <w:t>reviewed:true</w:t>
      </w:r>
      <w:proofErr w:type="spellEnd"/>
      <w:proofErr w:type="gramEnd"/>
      <w:r w:rsidR="00B81CB0" w:rsidRPr="00EE0E83">
        <w:rPr>
          <w:rFonts w:ascii="Times New Roman" w:hAnsi="Times New Roman" w:cs="Times New Roman"/>
          <w:sz w:val="24"/>
          <w:szCs w:val="24"/>
        </w:rPr>
        <w:t>) AND (</w:t>
      </w:r>
      <w:proofErr w:type="spellStart"/>
      <w:r w:rsidR="00B81CB0" w:rsidRPr="00EE0E83">
        <w:rPr>
          <w:rFonts w:ascii="Times New Roman" w:hAnsi="Times New Roman" w:cs="Times New Roman"/>
          <w:sz w:val="24"/>
          <w:szCs w:val="24"/>
        </w:rPr>
        <w:t>precursor:false</w:t>
      </w:r>
      <w:proofErr w:type="spellEnd"/>
      <w:r w:rsidR="00B81CB0" w:rsidRPr="00EE0E83">
        <w:rPr>
          <w:rFonts w:ascii="Times New Roman" w:hAnsi="Times New Roman" w:cs="Times New Roman"/>
          <w:sz w:val="24"/>
          <w:szCs w:val="24"/>
        </w:rPr>
        <w:t>) AND (</w:t>
      </w:r>
      <w:proofErr w:type="spellStart"/>
      <w:r w:rsidR="00B81CB0" w:rsidRPr="00EE0E83">
        <w:rPr>
          <w:rFonts w:ascii="Times New Roman" w:hAnsi="Times New Roman" w:cs="Times New Roman"/>
          <w:sz w:val="24"/>
          <w:szCs w:val="24"/>
        </w:rPr>
        <w:t>fragment:false</w:t>
      </w:r>
      <w:proofErr w:type="spellEnd"/>
      <w:r w:rsidR="00B81CB0" w:rsidRPr="00EE0E83">
        <w:rPr>
          <w:rFonts w:ascii="Times New Roman" w:hAnsi="Times New Roman" w:cs="Times New Roman"/>
          <w:sz w:val="24"/>
          <w:szCs w:val="24"/>
        </w:rPr>
        <w:t>)</w:t>
      </w:r>
    </w:p>
    <w:p w:rsidR="00EE0E83" w:rsidRDefault="00EE0E83" w:rsidP="00836EC9">
      <w:pPr>
        <w:jc w:val="both"/>
        <w:rPr>
          <w:rFonts w:ascii="Times New Roman" w:hAnsi="Times New Roman" w:cs="Times New Roman"/>
          <w:b/>
          <w:sz w:val="24"/>
          <w:szCs w:val="24"/>
        </w:rPr>
      </w:pPr>
      <w:r w:rsidRPr="00EE0E83">
        <w:rPr>
          <w:rFonts w:ascii="Times New Roman" w:hAnsi="Times New Roman" w:cs="Times New Roman"/>
          <w:b/>
          <w:sz w:val="24"/>
          <w:szCs w:val="24"/>
        </w:rPr>
        <w:t>Supplementary Material S2:</w:t>
      </w:r>
    </w:p>
    <w:p w:rsidR="000E5329" w:rsidRPr="00EE0E83" w:rsidRDefault="000E5329" w:rsidP="00836EC9">
      <w:pPr>
        <w:jc w:val="both"/>
        <w:rPr>
          <w:rFonts w:ascii="Times New Roman" w:hAnsi="Times New Roman" w:cs="Times New Roman"/>
          <w:b/>
          <w:sz w:val="24"/>
          <w:szCs w:val="24"/>
        </w:rPr>
      </w:pPr>
      <w:r w:rsidRPr="000E5329">
        <w:rPr>
          <w:rFonts w:ascii="Times New Roman" w:hAnsi="Times New Roman" w:cs="Times New Roman"/>
          <w:b/>
          <w:sz w:val="24"/>
          <w:szCs w:val="24"/>
        </w:rPr>
        <w:t>Membrane Protein Dataset Collection</w:t>
      </w:r>
      <w:r>
        <w:rPr>
          <w:rFonts w:ascii="Times New Roman" w:hAnsi="Times New Roman" w:cs="Times New Roman"/>
          <w:b/>
          <w:sz w:val="24"/>
          <w:szCs w:val="24"/>
        </w:rPr>
        <w:t>:</w:t>
      </w:r>
    </w:p>
    <w:p w:rsidR="00866E6C" w:rsidRDefault="00557BDE" w:rsidP="00836EC9">
      <w:pPr>
        <w:jc w:val="both"/>
        <w:rPr>
          <w:rFonts w:ascii="Times New Roman" w:hAnsi="Times New Roman" w:cs="Times New Roman"/>
          <w:sz w:val="24"/>
          <w:szCs w:val="24"/>
        </w:rPr>
      </w:pPr>
      <w:r w:rsidRPr="00EE0E83">
        <w:rPr>
          <w:rFonts w:ascii="Times New Roman" w:hAnsi="Times New Roman" w:cs="Times New Roman"/>
          <w:sz w:val="24"/>
          <w:szCs w:val="24"/>
        </w:rPr>
        <w:t>The membrane proteins we coll</w:t>
      </w:r>
      <w:r w:rsidR="00221F67" w:rsidRPr="00EE0E83">
        <w:rPr>
          <w:rFonts w:ascii="Times New Roman" w:hAnsi="Times New Roman" w:cs="Times New Roman"/>
          <w:sz w:val="24"/>
          <w:szCs w:val="24"/>
        </w:rPr>
        <w:t xml:space="preserve">ected dataset from the paper </w:t>
      </w:r>
      <w:r w:rsidR="00221F67" w:rsidRPr="00EE0E83">
        <w:rPr>
          <w:rFonts w:ascii="Times New Roman" w:hAnsi="Times New Roman" w:cs="Times New Roman"/>
          <w:sz w:val="24"/>
          <w:szCs w:val="24"/>
          <w:vertAlign w:val="superscript"/>
        </w:rPr>
        <w:t>*</w:t>
      </w:r>
      <w:r w:rsidRPr="00EE0E83">
        <w:rPr>
          <w:rFonts w:ascii="Times New Roman" w:hAnsi="Times New Roman" w:cs="Times New Roman"/>
          <w:sz w:val="24"/>
          <w:szCs w:val="24"/>
        </w:rPr>
        <w:t xml:space="preserve">. </w:t>
      </w:r>
      <w:r w:rsidR="00486BC8" w:rsidRPr="00EE0E83">
        <w:rPr>
          <w:rFonts w:ascii="Times New Roman" w:hAnsi="Times New Roman" w:cs="Times New Roman"/>
          <w:sz w:val="24"/>
          <w:szCs w:val="24"/>
        </w:rPr>
        <w:t xml:space="preserve">All sequences included in the dataset were carefully filtered and only reviewed entries from the data set that are not precursor or fragment sequences. </w:t>
      </w:r>
      <w:r w:rsidRPr="00EE0E83">
        <w:rPr>
          <w:rFonts w:ascii="Times New Roman" w:hAnsi="Times New Roman" w:cs="Times New Roman"/>
          <w:sz w:val="24"/>
          <w:szCs w:val="24"/>
        </w:rPr>
        <w:t>A detailed summary of the data collection results, including the number of proteins, is provided in the accompanying table</w:t>
      </w:r>
      <w:r w:rsidR="00430A8F" w:rsidRPr="00EE0E83">
        <w:rPr>
          <w:rFonts w:ascii="Times New Roman" w:hAnsi="Times New Roman" w:cs="Times New Roman"/>
          <w:sz w:val="24"/>
          <w:szCs w:val="24"/>
        </w:rPr>
        <w:t>.</w:t>
      </w:r>
    </w:p>
    <w:p w:rsidR="0091459C" w:rsidRPr="0091459C" w:rsidRDefault="0091459C" w:rsidP="0091459C">
      <w:pPr>
        <w:jc w:val="both"/>
        <w:rPr>
          <w:rFonts w:ascii="Times New Roman" w:hAnsi="Times New Roman" w:cs="Times New Roman"/>
          <w:b/>
          <w:sz w:val="24"/>
          <w:szCs w:val="24"/>
        </w:rPr>
      </w:pPr>
      <w:r w:rsidRPr="0091459C">
        <w:rPr>
          <w:rFonts w:ascii="Times New Roman" w:hAnsi="Times New Roman" w:cs="Times New Roman"/>
          <w:b/>
          <w:sz w:val="24"/>
          <w:szCs w:val="24"/>
        </w:rPr>
        <w:t>Supplementary Material S3:</w:t>
      </w:r>
    </w:p>
    <w:p w:rsidR="00FB2CF3" w:rsidRPr="00320C16" w:rsidRDefault="00320C16" w:rsidP="00836EC9">
      <w:pPr>
        <w:jc w:val="both"/>
        <w:rPr>
          <w:rFonts w:ascii="Times New Roman" w:hAnsi="Times New Roman" w:cs="Times New Roman"/>
          <w:b/>
          <w:sz w:val="24"/>
          <w:szCs w:val="24"/>
        </w:rPr>
      </w:pPr>
      <w:r w:rsidRPr="00320C16">
        <w:rPr>
          <w:rFonts w:ascii="Times New Roman" w:hAnsi="Times New Roman" w:cs="Times New Roman"/>
          <w:b/>
          <w:sz w:val="24"/>
          <w:szCs w:val="24"/>
        </w:rPr>
        <w:t>Summary of Dataset Statistics</w:t>
      </w:r>
      <w:r w:rsidR="00D132EC">
        <w:rPr>
          <w:rFonts w:ascii="Times New Roman" w:hAnsi="Times New Roman" w:cs="Times New Roman"/>
          <w:b/>
          <w:sz w:val="24"/>
          <w:szCs w:val="24"/>
        </w:rPr>
        <w:t>:</w:t>
      </w:r>
      <w:r w:rsidR="00A42DD5" w:rsidRPr="00A42DD5">
        <w:rPr>
          <w:b/>
          <w:bCs/>
        </w:rPr>
        <w:t xml:space="preserve"> </w:t>
      </w:r>
      <w:r w:rsidR="00A42DD5" w:rsidRPr="00A42DD5">
        <w:rPr>
          <w:rFonts w:ascii="Times New Roman" w:hAnsi="Times New Roman" w:cs="Times New Roman"/>
          <w:b/>
          <w:bCs/>
          <w:sz w:val="24"/>
          <w:szCs w:val="24"/>
        </w:rPr>
        <w:t>Table S1</w:t>
      </w:r>
      <w:r w:rsidR="00A42DD5" w:rsidRPr="00A42DD5">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15"/>
        <w:gridCol w:w="1710"/>
        <w:gridCol w:w="1980"/>
        <w:gridCol w:w="1530"/>
        <w:gridCol w:w="1615"/>
      </w:tblGrid>
      <w:tr w:rsidR="0053397A" w:rsidRPr="00EE0E83" w:rsidTr="00293CF8">
        <w:tc>
          <w:tcPr>
            <w:tcW w:w="2515" w:type="dxa"/>
          </w:tcPr>
          <w:p w:rsidR="0053397A" w:rsidRPr="00EE0E83" w:rsidRDefault="0053397A" w:rsidP="00836EC9">
            <w:pPr>
              <w:jc w:val="both"/>
              <w:rPr>
                <w:rFonts w:ascii="Times New Roman" w:hAnsi="Times New Roman" w:cs="Times New Roman"/>
                <w:b/>
                <w:sz w:val="24"/>
                <w:szCs w:val="24"/>
              </w:rPr>
            </w:pPr>
            <w:r w:rsidRPr="00EE0E83">
              <w:rPr>
                <w:rFonts w:ascii="Times New Roman" w:hAnsi="Times New Roman" w:cs="Times New Roman"/>
                <w:b/>
                <w:sz w:val="24"/>
                <w:szCs w:val="24"/>
              </w:rPr>
              <w:t>Class</w:t>
            </w:r>
          </w:p>
        </w:tc>
        <w:tc>
          <w:tcPr>
            <w:tcW w:w="1710" w:type="dxa"/>
          </w:tcPr>
          <w:p w:rsidR="0053397A" w:rsidRPr="00EE0E83" w:rsidRDefault="0053397A" w:rsidP="00836EC9">
            <w:pPr>
              <w:jc w:val="both"/>
              <w:rPr>
                <w:rFonts w:ascii="Times New Roman" w:hAnsi="Times New Roman" w:cs="Times New Roman"/>
                <w:b/>
                <w:sz w:val="24"/>
                <w:szCs w:val="24"/>
              </w:rPr>
            </w:pPr>
            <w:r w:rsidRPr="00EE0E83">
              <w:rPr>
                <w:rFonts w:ascii="Times New Roman" w:hAnsi="Times New Roman" w:cs="Times New Roman"/>
                <w:b/>
                <w:sz w:val="24"/>
                <w:szCs w:val="24"/>
              </w:rPr>
              <w:t>Sequences</w:t>
            </w:r>
          </w:p>
        </w:tc>
        <w:tc>
          <w:tcPr>
            <w:tcW w:w="1980" w:type="dxa"/>
          </w:tcPr>
          <w:p w:rsidR="0053397A" w:rsidRPr="00EE0E83" w:rsidRDefault="0053397A" w:rsidP="00836EC9">
            <w:pPr>
              <w:jc w:val="both"/>
              <w:rPr>
                <w:rFonts w:ascii="Times New Roman" w:hAnsi="Times New Roman" w:cs="Times New Roman"/>
                <w:b/>
                <w:sz w:val="24"/>
                <w:szCs w:val="24"/>
              </w:rPr>
            </w:pPr>
            <w:r w:rsidRPr="00EE0E83">
              <w:rPr>
                <w:rFonts w:ascii="Times New Roman" w:hAnsi="Times New Roman" w:cs="Times New Roman"/>
                <w:b/>
                <w:sz w:val="24"/>
                <w:szCs w:val="24"/>
              </w:rPr>
              <w:t>60%</w:t>
            </w:r>
            <w:r w:rsidR="00A965CB" w:rsidRPr="00EE0E83">
              <w:rPr>
                <w:rFonts w:ascii="Times New Roman" w:hAnsi="Times New Roman" w:cs="Times New Roman"/>
                <w:b/>
                <w:sz w:val="24"/>
                <w:szCs w:val="24"/>
              </w:rPr>
              <w:t xml:space="preserve"> Similarity</w:t>
            </w:r>
          </w:p>
        </w:tc>
        <w:tc>
          <w:tcPr>
            <w:tcW w:w="1530" w:type="dxa"/>
          </w:tcPr>
          <w:p w:rsidR="0053397A" w:rsidRPr="00EE0E83" w:rsidRDefault="00A965CB" w:rsidP="00836EC9">
            <w:pPr>
              <w:jc w:val="both"/>
              <w:rPr>
                <w:rFonts w:ascii="Times New Roman" w:hAnsi="Times New Roman" w:cs="Times New Roman"/>
                <w:b/>
                <w:sz w:val="24"/>
                <w:szCs w:val="24"/>
              </w:rPr>
            </w:pPr>
            <w:r w:rsidRPr="00EE0E83">
              <w:rPr>
                <w:rFonts w:ascii="Times New Roman" w:hAnsi="Times New Roman" w:cs="Times New Roman"/>
                <w:b/>
                <w:sz w:val="24"/>
                <w:szCs w:val="24"/>
              </w:rPr>
              <w:t xml:space="preserve">80% </w:t>
            </w:r>
            <w:r w:rsidR="0053397A" w:rsidRPr="00EE0E83">
              <w:rPr>
                <w:rFonts w:ascii="Times New Roman" w:hAnsi="Times New Roman" w:cs="Times New Roman"/>
                <w:b/>
                <w:sz w:val="24"/>
                <w:szCs w:val="24"/>
              </w:rPr>
              <w:t>Train</w:t>
            </w:r>
          </w:p>
        </w:tc>
        <w:tc>
          <w:tcPr>
            <w:tcW w:w="1615" w:type="dxa"/>
          </w:tcPr>
          <w:p w:rsidR="0053397A" w:rsidRPr="00EE0E83" w:rsidRDefault="00A965CB" w:rsidP="00836EC9">
            <w:pPr>
              <w:jc w:val="both"/>
              <w:rPr>
                <w:rFonts w:ascii="Times New Roman" w:hAnsi="Times New Roman" w:cs="Times New Roman"/>
                <w:b/>
                <w:sz w:val="24"/>
                <w:szCs w:val="24"/>
              </w:rPr>
            </w:pPr>
            <w:r w:rsidRPr="00EE0E83">
              <w:rPr>
                <w:rFonts w:ascii="Times New Roman" w:hAnsi="Times New Roman" w:cs="Times New Roman"/>
                <w:b/>
                <w:sz w:val="24"/>
                <w:szCs w:val="24"/>
              </w:rPr>
              <w:t xml:space="preserve">20% </w:t>
            </w:r>
            <w:r w:rsidR="0053397A" w:rsidRPr="00EE0E83">
              <w:rPr>
                <w:rFonts w:ascii="Times New Roman" w:hAnsi="Times New Roman" w:cs="Times New Roman"/>
                <w:b/>
                <w:sz w:val="24"/>
                <w:szCs w:val="24"/>
              </w:rPr>
              <w:t>Test</w:t>
            </w:r>
          </w:p>
        </w:tc>
      </w:tr>
      <w:tr w:rsidR="0053397A" w:rsidRPr="00EE0E83" w:rsidTr="00293CF8">
        <w:tc>
          <w:tcPr>
            <w:tcW w:w="2515" w:type="dxa"/>
          </w:tcPr>
          <w:p w:rsidR="0053397A" w:rsidRPr="00EE0E83" w:rsidRDefault="0053397A" w:rsidP="00836EC9">
            <w:pPr>
              <w:jc w:val="both"/>
              <w:rPr>
                <w:rFonts w:ascii="Times New Roman" w:hAnsi="Times New Roman" w:cs="Times New Roman"/>
                <w:sz w:val="24"/>
                <w:szCs w:val="24"/>
              </w:rPr>
            </w:pPr>
            <w:r w:rsidRPr="00EE0E83">
              <w:rPr>
                <w:rFonts w:ascii="Times New Roman" w:hAnsi="Times New Roman" w:cs="Times New Roman"/>
                <w:sz w:val="24"/>
                <w:szCs w:val="24"/>
              </w:rPr>
              <w:t>Sodium Transporters</w:t>
            </w:r>
          </w:p>
        </w:tc>
        <w:tc>
          <w:tcPr>
            <w:tcW w:w="1710" w:type="dxa"/>
          </w:tcPr>
          <w:p w:rsidR="0053397A" w:rsidRPr="00EE0E83" w:rsidRDefault="00165C54" w:rsidP="00836EC9">
            <w:pPr>
              <w:jc w:val="both"/>
              <w:rPr>
                <w:rFonts w:ascii="Times New Roman" w:hAnsi="Times New Roman" w:cs="Times New Roman"/>
                <w:sz w:val="24"/>
                <w:szCs w:val="24"/>
              </w:rPr>
            </w:pPr>
            <w:r w:rsidRPr="00EE0E83">
              <w:rPr>
                <w:rFonts w:ascii="Times New Roman" w:hAnsi="Times New Roman" w:cs="Times New Roman"/>
                <w:sz w:val="24"/>
                <w:szCs w:val="24"/>
              </w:rPr>
              <w:t>1697</w:t>
            </w:r>
          </w:p>
        </w:tc>
        <w:tc>
          <w:tcPr>
            <w:tcW w:w="1980" w:type="dxa"/>
          </w:tcPr>
          <w:p w:rsidR="0053397A" w:rsidRPr="00EE0E83" w:rsidRDefault="00165C54" w:rsidP="00836EC9">
            <w:pPr>
              <w:jc w:val="both"/>
              <w:rPr>
                <w:rFonts w:ascii="Times New Roman" w:hAnsi="Times New Roman" w:cs="Times New Roman"/>
                <w:sz w:val="24"/>
                <w:szCs w:val="24"/>
              </w:rPr>
            </w:pPr>
            <w:r w:rsidRPr="00EE0E83">
              <w:rPr>
                <w:rFonts w:ascii="Times New Roman" w:hAnsi="Times New Roman" w:cs="Times New Roman"/>
                <w:sz w:val="24"/>
                <w:szCs w:val="24"/>
              </w:rPr>
              <w:t>423</w:t>
            </w:r>
          </w:p>
        </w:tc>
        <w:tc>
          <w:tcPr>
            <w:tcW w:w="1530" w:type="dxa"/>
          </w:tcPr>
          <w:p w:rsidR="0053397A" w:rsidRPr="00EE0E83" w:rsidRDefault="00584AC0" w:rsidP="00836EC9">
            <w:pPr>
              <w:jc w:val="both"/>
              <w:rPr>
                <w:rFonts w:ascii="Times New Roman" w:hAnsi="Times New Roman" w:cs="Times New Roman"/>
                <w:sz w:val="24"/>
                <w:szCs w:val="24"/>
              </w:rPr>
            </w:pPr>
            <w:r w:rsidRPr="00EE0E83">
              <w:rPr>
                <w:rFonts w:ascii="Times New Roman" w:hAnsi="Times New Roman" w:cs="Times New Roman"/>
                <w:sz w:val="24"/>
                <w:szCs w:val="24"/>
              </w:rPr>
              <w:t>338</w:t>
            </w:r>
          </w:p>
        </w:tc>
        <w:tc>
          <w:tcPr>
            <w:tcW w:w="1615" w:type="dxa"/>
          </w:tcPr>
          <w:p w:rsidR="0053397A" w:rsidRPr="00EE0E83" w:rsidRDefault="00584AC0" w:rsidP="00836EC9">
            <w:pPr>
              <w:jc w:val="both"/>
              <w:rPr>
                <w:rFonts w:ascii="Times New Roman" w:hAnsi="Times New Roman" w:cs="Times New Roman"/>
                <w:sz w:val="24"/>
                <w:szCs w:val="24"/>
              </w:rPr>
            </w:pPr>
            <w:r w:rsidRPr="00EE0E83">
              <w:rPr>
                <w:rFonts w:ascii="Times New Roman" w:hAnsi="Times New Roman" w:cs="Times New Roman"/>
                <w:sz w:val="24"/>
                <w:szCs w:val="24"/>
              </w:rPr>
              <w:t>85</w:t>
            </w:r>
          </w:p>
        </w:tc>
      </w:tr>
      <w:tr w:rsidR="0053397A" w:rsidRPr="00EE0E83" w:rsidTr="00293CF8">
        <w:tc>
          <w:tcPr>
            <w:tcW w:w="2515" w:type="dxa"/>
          </w:tcPr>
          <w:p w:rsidR="0053397A" w:rsidRPr="00EE0E83" w:rsidRDefault="0053397A" w:rsidP="00836EC9">
            <w:pPr>
              <w:jc w:val="both"/>
              <w:rPr>
                <w:rFonts w:ascii="Times New Roman" w:hAnsi="Times New Roman" w:cs="Times New Roman"/>
                <w:sz w:val="24"/>
                <w:szCs w:val="24"/>
              </w:rPr>
            </w:pPr>
            <w:r w:rsidRPr="00EE0E83">
              <w:rPr>
                <w:rFonts w:ascii="Times New Roman" w:hAnsi="Times New Roman" w:cs="Times New Roman"/>
                <w:sz w:val="24"/>
                <w:szCs w:val="24"/>
              </w:rPr>
              <w:t>Membrane</w:t>
            </w:r>
            <w:r w:rsidR="003A7186" w:rsidRPr="00EE0E83">
              <w:rPr>
                <w:rFonts w:ascii="Times New Roman" w:hAnsi="Times New Roman" w:cs="Times New Roman"/>
                <w:sz w:val="24"/>
                <w:szCs w:val="24"/>
              </w:rPr>
              <w:t>*</w:t>
            </w:r>
          </w:p>
        </w:tc>
        <w:tc>
          <w:tcPr>
            <w:tcW w:w="1710" w:type="dxa"/>
          </w:tcPr>
          <w:p w:rsidR="0053397A" w:rsidRPr="00EE0E83" w:rsidRDefault="00B14432" w:rsidP="00836EC9">
            <w:pPr>
              <w:jc w:val="both"/>
              <w:rPr>
                <w:rFonts w:ascii="Times New Roman" w:hAnsi="Times New Roman" w:cs="Times New Roman"/>
                <w:sz w:val="24"/>
                <w:szCs w:val="24"/>
              </w:rPr>
            </w:pPr>
            <w:r w:rsidRPr="00EE0E83">
              <w:rPr>
                <w:rFonts w:ascii="Times New Roman" w:hAnsi="Times New Roman" w:cs="Times New Roman"/>
                <w:sz w:val="24"/>
                <w:szCs w:val="24"/>
              </w:rPr>
              <w:t>13111</w:t>
            </w:r>
          </w:p>
        </w:tc>
        <w:tc>
          <w:tcPr>
            <w:tcW w:w="1980" w:type="dxa"/>
          </w:tcPr>
          <w:p w:rsidR="0053397A" w:rsidRPr="00EE0E83" w:rsidRDefault="00B66A32" w:rsidP="00836EC9">
            <w:pPr>
              <w:jc w:val="both"/>
              <w:rPr>
                <w:rFonts w:ascii="Times New Roman" w:hAnsi="Times New Roman" w:cs="Times New Roman"/>
                <w:sz w:val="24"/>
                <w:szCs w:val="24"/>
              </w:rPr>
            </w:pPr>
            <w:r w:rsidRPr="00EE0E83">
              <w:rPr>
                <w:rFonts w:ascii="Times New Roman" w:hAnsi="Times New Roman" w:cs="Times New Roman"/>
                <w:sz w:val="24"/>
                <w:szCs w:val="24"/>
              </w:rPr>
              <w:t>5376</w:t>
            </w:r>
          </w:p>
        </w:tc>
        <w:tc>
          <w:tcPr>
            <w:tcW w:w="1530" w:type="dxa"/>
          </w:tcPr>
          <w:p w:rsidR="0053397A" w:rsidRPr="00EE0E83" w:rsidRDefault="00A80743" w:rsidP="00836EC9">
            <w:pPr>
              <w:jc w:val="both"/>
              <w:rPr>
                <w:rFonts w:ascii="Times New Roman" w:hAnsi="Times New Roman" w:cs="Times New Roman"/>
                <w:sz w:val="24"/>
                <w:szCs w:val="24"/>
              </w:rPr>
            </w:pPr>
            <w:r w:rsidRPr="00EE0E83">
              <w:rPr>
                <w:rFonts w:ascii="Times New Roman" w:hAnsi="Times New Roman" w:cs="Times New Roman"/>
                <w:sz w:val="24"/>
                <w:szCs w:val="24"/>
              </w:rPr>
              <w:t>4300</w:t>
            </w:r>
          </w:p>
        </w:tc>
        <w:tc>
          <w:tcPr>
            <w:tcW w:w="1615" w:type="dxa"/>
          </w:tcPr>
          <w:p w:rsidR="0053397A" w:rsidRPr="00EE0E83" w:rsidRDefault="00B66A32" w:rsidP="00836EC9">
            <w:pPr>
              <w:jc w:val="both"/>
              <w:rPr>
                <w:rFonts w:ascii="Times New Roman" w:hAnsi="Times New Roman" w:cs="Times New Roman"/>
                <w:sz w:val="24"/>
                <w:szCs w:val="24"/>
              </w:rPr>
            </w:pPr>
            <w:r w:rsidRPr="00EE0E83">
              <w:rPr>
                <w:rFonts w:ascii="Times New Roman" w:hAnsi="Times New Roman" w:cs="Times New Roman"/>
                <w:sz w:val="24"/>
                <w:szCs w:val="24"/>
              </w:rPr>
              <w:t>1076</w:t>
            </w:r>
          </w:p>
        </w:tc>
      </w:tr>
      <w:tr w:rsidR="0053397A" w:rsidRPr="00EE0E83" w:rsidTr="00293CF8">
        <w:tc>
          <w:tcPr>
            <w:tcW w:w="2515" w:type="dxa"/>
          </w:tcPr>
          <w:p w:rsidR="0053397A" w:rsidRPr="00EE0E83" w:rsidRDefault="00EC1784" w:rsidP="00836EC9">
            <w:pPr>
              <w:jc w:val="both"/>
              <w:rPr>
                <w:rFonts w:ascii="Times New Roman" w:hAnsi="Times New Roman" w:cs="Times New Roman"/>
                <w:b/>
                <w:sz w:val="24"/>
                <w:szCs w:val="24"/>
              </w:rPr>
            </w:pPr>
            <w:r w:rsidRPr="00EE0E83">
              <w:rPr>
                <w:rFonts w:ascii="Times New Roman" w:hAnsi="Times New Roman" w:cs="Times New Roman"/>
                <w:b/>
                <w:sz w:val="24"/>
                <w:szCs w:val="24"/>
              </w:rPr>
              <w:t>Total</w:t>
            </w:r>
          </w:p>
        </w:tc>
        <w:tc>
          <w:tcPr>
            <w:tcW w:w="1710" w:type="dxa"/>
          </w:tcPr>
          <w:p w:rsidR="0053397A" w:rsidRPr="00EE0E83" w:rsidRDefault="00A64A32" w:rsidP="00836EC9">
            <w:pPr>
              <w:jc w:val="both"/>
              <w:rPr>
                <w:rFonts w:ascii="Times New Roman" w:hAnsi="Times New Roman" w:cs="Times New Roman"/>
                <w:b/>
                <w:sz w:val="24"/>
                <w:szCs w:val="24"/>
              </w:rPr>
            </w:pPr>
            <w:r w:rsidRPr="00EE0E83">
              <w:rPr>
                <w:rFonts w:ascii="Times New Roman" w:hAnsi="Times New Roman" w:cs="Times New Roman"/>
                <w:b/>
                <w:sz w:val="24"/>
                <w:szCs w:val="24"/>
              </w:rPr>
              <w:fldChar w:fldCharType="begin"/>
            </w:r>
            <w:r w:rsidRPr="00EE0E83">
              <w:rPr>
                <w:rFonts w:ascii="Times New Roman" w:hAnsi="Times New Roman" w:cs="Times New Roman"/>
                <w:b/>
                <w:sz w:val="24"/>
                <w:szCs w:val="24"/>
              </w:rPr>
              <w:instrText xml:space="preserve"> =SUM(ABOVE) </w:instrText>
            </w:r>
            <w:r w:rsidRPr="00EE0E83">
              <w:rPr>
                <w:rFonts w:ascii="Times New Roman" w:hAnsi="Times New Roman" w:cs="Times New Roman"/>
                <w:b/>
                <w:sz w:val="24"/>
                <w:szCs w:val="24"/>
              </w:rPr>
              <w:fldChar w:fldCharType="separate"/>
            </w:r>
            <w:r w:rsidRPr="00EE0E83">
              <w:rPr>
                <w:rFonts w:ascii="Times New Roman" w:hAnsi="Times New Roman" w:cs="Times New Roman"/>
                <w:b/>
                <w:noProof/>
                <w:sz w:val="24"/>
                <w:szCs w:val="24"/>
              </w:rPr>
              <w:t>14808</w:t>
            </w:r>
            <w:r w:rsidRPr="00EE0E83">
              <w:rPr>
                <w:rFonts w:ascii="Times New Roman" w:hAnsi="Times New Roman" w:cs="Times New Roman"/>
                <w:b/>
                <w:sz w:val="24"/>
                <w:szCs w:val="24"/>
              </w:rPr>
              <w:fldChar w:fldCharType="end"/>
            </w:r>
          </w:p>
        </w:tc>
        <w:tc>
          <w:tcPr>
            <w:tcW w:w="1980" w:type="dxa"/>
          </w:tcPr>
          <w:p w:rsidR="0053397A" w:rsidRPr="00EE0E83" w:rsidRDefault="00A64A32" w:rsidP="00836EC9">
            <w:pPr>
              <w:jc w:val="both"/>
              <w:rPr>
                <w:rFonts w:ascii="Times New Roman" w:hAnsi="Times New Roman" w:cs="Times New Roman"/>
                <w:b/>
                <w:sz w:val="24"/>
                <w:szCs w:val="24"/>
              </w:rPr>
            </w:pPr>
            <w:r w:rsidRPr="00EE0E83">
              <w:rPr>
                <w:rFonts w:ascii="Times New Roman" w:hAnsi="Times New Roman" w:cs="Times New Roman"/>
                <w:b/>
                <w:sz w:val="24"/>
                <w:szCs w:val="24"/>
              </w:rPr>
              <w:fldChar w:fldCharType="begin"/>
            </w:r>
            <w:r w:rsidRPr="00EE0E83">
              <w:rPr>
                <w:rFonts w:ascii="Times New Roman" w:hAnsi="Times New Roman" w:cs="Times New Roman"/>
                <w:b/>
                <w:sz w:val="24"/>
                <w:szCs w:val="24"/>
              </w:rPr>
              <w:instrText xml:space="preserve"> =SUM(ABOVE) </w:instrText>
            </w:r>
            <w:r w:rsidRPr="00EE0E83">
              <w:rPr>
                <w:rFonts w:ascii="Times New Roman" w:hAnsi="Times New Roman" w:cs="Times New Roman"/>
                <w:b/>
                <w:sz w:val="24"/>
                <w:szCs w:val="24"/>
              </w:rPr>
              <w:fldChar w:fldCharType="separate"/>
            </w:r>
            <w:r w:rsidRPr="00EE0E83">
              <w:rPr>
                <w:rFonts w:ascii="Times New Roman" w:hAnsi="Times New Roman" w:cs="Times New Roman"/>
                <w:b/>
                <w:noProof/>
                <w:sz w:val="24"/>
                <w:szCs w:val="24"/>
              </w:rPr>
              <w:t>5799</w:t>
            </w:r>
            <w:r w:rsidRPr="00EE0E83">
              <w:rPr>
                <w:rFonts w:ascii="Times New Roman" w:hAnsi="Times New Roman" w:cs="Times New Roman"/>
                <w:b/>
                <w:sz w:val="24"/>
                <w:szCs w:val="24"/>
              </w:rPr>
              <w:fldChar w:fldCharType="end"/>
            </w:r>
          </w:p>
        </w:tc>
        <w:tc>
          <w:tcPr>
            <w:tcW w:w="1530" w:type="dxa"/>
          </w:tcPr>
          <w:p w:rsidR="0053397A" w:rsidRPr="00EE0E83" w:rsidRDefault="00A80743" w:rsidP="00836EC9">
            <w:pPr>
              <w:jc w:val="both"/>
              <w:rPr>
                <w:rFonts w:ascii="Times New Roman" w:hAnsi="Times New Roman" w:cs="Times New Roman"/>
                <w:b/>
                <w:sz w:val="24"/>
                <w:szCs w:val="24"/>
              </w:rPr>
            </w:pPr>
            <w:r w:rsidRPr="00EE0E83">
              <w:rPr>
                <w:rFonts w:ascii="Times New Roman" w:hAnsi="Times New Roman" w:cs="Times New Roman"/>
                <w:b/>
                <w:sz w:val="24"/>
                <w:szCs w:val="24"/>
              </w:rPr>
              <w:fldChar w:fldCharType="begin"/>
            </w:r>
            <w:r w:rsidRPr="00EE0E83">
              <w:rPr>
                <w:rFonts w:ascii="Times New Roman" w:hAnsi="Times New Roman" w:cs="Times New Roman"/>
                <w:b/>
                <w:sz w:val="24"/>
                <w:szCs w:val="24"/>
              </w:rPr>
              <w:instrText xml:space="preserve"> =SUM(ABOVE) </w:instrText>
            </w:r>
            <w:r w:rsidRPr="00EE0E83">
              <w:rPr>
                <w:rFonts w:ascii="Times New Roman" w:hAnsi="Times New Roman" w:cs="Times New Roman"/>
                <w:b/>
                <w:sz w:val="24"/>
                <w:szCs w:val="24"/>
              </w:rPr>
              <w:fldChar w:fldCharType="separate"/>
            </w:r>
            <w:r w:rsidRPr="00EE0E83">
              <w:rPr>
                <w:rFonts w:ascii="Times New Roman" w:hAnsi="Times New Roman" w:cs="Times New Roman"/>
                <w:b/>
                <w:noProof/>
                <w:sz w:val="24"/>
                <w:szCs w:val="24"/>
              </w:rPr>
              <w:t>4638</w:t>
            </w:r>
            <w:r w:rsidRPr="00EE0E83">
              <w:rPr>
                <w:rFonts w:ascii="Times New Roman" w:hAnsi="Times New Roman" w:cs="Times New Roman"/>
                <w:b/>
                <w:sz w:val="24"/>
                <w:szCs w:val="24"/>
              </w:rPr>
              <w:fldChar w:fldCharType="end"/>
            </w:r>
          </w:p>
        </w:tc>
        <w:tc>
          <w:tcPr>
            <w:tcW w:w="1615" w:type="dxa"/>
          </w:tcPr>
          <w:p w:rsidR="0053397A" w:rsidRPr="00EE0E83" w:rsidRDefault="00A80743" w:rsidP="00836EC9">
            <w:pPr>
              <w:jc w:val="both"/>
              <w:rPr>
                <w:rFonts w:ascii="Times New Roman" w:hAnsi="Times New Roman" w:cs="Times New Roman"/>
                <w:b/>
                <w:sz w:val="24"/>
                <w:szCs w:val="24"/>
              </w:rPr>
            </w:pPr>
            <w:r w:rsidRPr="00EE0E83">
              <w:rPr>
                <w:rFonts w:ascii="Times New Roman" w:hAnsi="Times New Roman" w:cs="Times New Roman"/>
                <w:b/>
                <w:sz w:val="24"/>
                <w:szCs w:val="24"/>
              </w:rPr>
              <w:fldChar w:fldCharType="begin"/>
            </w:r>
            <w:r w:rsidRPr="00EE0E83">
              <w:rPr>
                <w:rFonts w:ascii="Times New Roman" w:hAnsi="Times New Roman" w:cs="Times New Roman"/>
                <w:b/>
                <w:sz w:val="24"/>
                <w:szCs w:val="24"/>
              </w:rPr>
              <w:instrText xml:space="preserve"> =SUM(ABOVE) </w:instrText>
            </w:r>
            <w:r w:rsidRPr="00EE0E83">
              <w:rPr>
                <w:rFonts w:ascii="Times New Roman" w:hAnsi="Times New Roman" w:cs="Times New Roman"/>
                <w:b/>
                <w:sz w:val="24"/>
                <w:szCs w:val="24"/>
              </w:rPr>
              <w:fldChar w:fldCharType="separate"/>
            </w:r>
            <w:r w:rsidRPr="00EE0E83">
              <w:rPr>
                <w:rFonts w:ascii="Times New Roman" w:hAnsi="Times New Roman" w:cs="Times New Roman"/>
                <w:b/>
                <w:noProof/>
                <w:sz w:val="24"/>
                <w:szCs w:val="24"/>
              </w:rPr>
              <w:t>1161</w:t>
            </w:r>
            <w:r w:rsidRPr="00EE0E83">
              <w:rPr>
                <w:rFonts w:ascii="Times New Roman" w:hAnsi="Times New Roman" w:cs="Times New Roman"/>
                <w:b/>
                <w:sz w:val="24"/>
                <w:szCs w:val="24"/>
              </w:rPr>
              <w:fldChar w:fldCharType="end"/>
            </w:r>
          </w:p>
        </w:tc>
      </w:tr>
    </w:tbl>
    <w:p w:rsidR="003A7186" w:rsidRPr="00EE0E83" w:rsidRDefault="003A7186" w:rsidP="003A7186">
      <w:pPr>
        <w:spacing w:after="0" w:line="240" w:lineRule="auto"/>
        <w:rPr>
          <w:rFonts w:ascii="Times New Roman" w:eastAsia="新細明體" w:hAnsi="Times New Roman" w:cs="Times New Roman"/>
          <w:color w:val="222222"/>
          <w:sz w:val="20"/>
          <w:szCs w:val="20"/>
          <w:shd w:val="clear" w:color="auto" w:fill="FFFFFF"/>
          <w:lang w:val="en"/>
        </w:rPr>
      </w:pPr>
      <w:r w:rsidRPr="00EE0E83">
        <w:rPr>
          <w:rFonts w:ascii="Times New Roman" w:eastAsia="新細明體" w:hAnsi="Times New Roman" w:cs="Times New Roman"/>
          <w:b/>
          <w:bCs/>
          <w:sz w:val="20"/>
          <w:szCs w:val="20"/>
        </w:rPr>
        <w:t>*</w:t>
      </w:r>
      <w:proofErr w:type="spellStart"/>
      <w:r w:rsidRPr="00EE0E83">
        <w:rPr>
          <w:rFonts w:ascii="Times New Roman" w:eastAsia="新細明體" w:hAnsi="Times New Roman" w:cs="Times New Roman"/>
          <w:color w:val="222222"/>
          <w:sz w:val="20"/>
          <w:szCs w:val="20"/>
          <w:shd w:val="clear" w:color="auto" w:fill="FFFFFF"/>
          <w:lang w:val="en"/>
        </w:rPr>
        <w:t>Shahid</w:t>
      </w:r>
      <w:proofErr w:type="spellEnd"/>
      <w:r w:rsidRPr="00EE0E83">
        <w:rPr>
          <w:rFonts w:ascii="Times New Roman" w:eastAsia="新細明體" w:hAnsi="Times New Roman" w:cs="Times New Roman"/>
          <w:color w:val="222222"/>
          <w:sz w:val="20"/>
          <w:szCs w:val="20"/>
          <w:shd w:val="clear" w:color="auto" w:fill="FFFFFF"/>
          <w:lang w:val="en"/>
        </w:rPr>
        <w:t xml:space="preserve"> Malik, M.; </w:t>
      </w:r>
      <w:proofErr w:type="spellStart"/>
      <w:r w:rsidRPr="00EE0E83">
        <w:rPr>
          <w:rFonts w:ascii="Times New Roman" w:eastAsia="新細明體" w:hAnsi="Times New Roman" w:cs="Times New Roman"/>
          <w:color w:val="222222"/>
          <w:sz w:val="20"/>
          <w:szCs w:val="20"/>
          <w:shd w:val="clear" w:color="auto" w:fill="FFFFFF"/>
          <w:lang w:val="en"/>
        </w:rPr>
        <w:t>Ou</w:t>
      </w:r>
      <w:proofErr w:type="spellEnd"/>
      <w:r w:rsidRPr="00EE0E83">
        <w:rPr>
          <w:rFonts w:ascii="Times New Roman" w:eastAsia="新細明體" w:hAnsi="Times New Roman" w:cs="Times New Roman"/>
          <w:color w:val="222222"/>
          <w:sz w:val="20"/>
          <w:szCs w:val="20"/>
          <w:shd w:val="clear" w:color="auto" w:fill="FFFFFF"/>
          <w:lang w:val="en"/>
        </w:rPr>
        <w:t xml:space="preserve">, Y.-Y. Integrating Pre-Trained protein language model and multiple window scanning deep learning networks for accurate identification of secondary active transporters in membrane proteins. </w:t>
      </w:r>
      <w:r w:rsidRPr="00EE0E83">
        <w:rPr>
          <w:rFonts w:ascii="Times New Roman" w:eastAsia="新細明體" w:hAnsi="Times New Roman" w:cs="Times New Roman"/>
          <w:i/>
          <w:iCs/>
          <w:color w:val="222222"/>
          <w:sz w:val="20"/>
          <w:szCs w:val="20"/>
          <w:shd w:val="clear" w:color="auto" w:fill="FFFFFF"/>
          <w:lang w:val="en"/>
        </w:rPr>
        <w:t>Methods</w:t>
      </w:r>
      <w:r w:rsidRPr="00EE0E83">
        <w:rPr>
          <w:rFonts w:ascii="Times New Roman" w:eastAsia="新細明體" w:hAnsi="Times New Roman" w:cs="Times New Roman"/>
          <w:color w:val="222222"/>
          <w:sz w:val="20"/>
          <w:szCs w:val="20"/>
          <w:shd w:val="clear" w:color="auto" w:fill="FFFFFF"/>
          <w:lang w:val="en"/>
        </w:rPr>
        <w:t xml:space="preserve"> </w:t>
      </w:r>
      <w:r w:rsidRPr="00EE0E83">
        <w:rPr>
          <w:rFonts w:ascii="Times New Roman" w:eastAsia="新細明體" w:hAnsi="Times New Roman" w:cs="Times New Roman"/>
          <w:b/>
          <w:bCs/>
          <w:color w:val="222222"/>
          <w:sz w:val="20"/>
          <w:szCs w:val="20"/>
          <w:shd w:val="clear" w:color="auto" w:fill="FFFFFF"/>
          <w:lang w:val="en"/>
        </w:rPr>
        <w:t>2023</w:t>
      </w:r>
      <w:r w:rsidRPr="00EE0E83">
        <w:rPr>
          <w:rFonts w:ascii="Times New Roman" w:eastAsia="新細明體" w:hAnsi="Times New Roman" w:cs="Times New Roman"/>
          <w:color w:val="222222"/>
          <w:sz w:val="20"/>
          <w:szCs w:val="20"/>
          <w:shd w:val="clear" w:color="auto" w:fill="FFFFFF"/>
          <w:lang w:val="en"/>
        </w:rPr>
        <w:t xml:space="preserve">, </w:t>
      </w:r>
      <w:r w:rsidRPr="00EE0E83">
        <w:rPr>
          <w:rFonts w:ascii="Times New Roman" w:eastAsia="新細明體" w:hAnsi="Times New Roman" w:cs="Times New Roman"/>
          <w:i/>
          <w:iCs/>
          <w:color w:val="222222"/>
          <w:sz w:val="20"/>
          <w:szCs w:val="20"/>
          <w:shd w:val="clear" w:color="auto" w:fill="FFFFFF"/>
          <w:lang w:val="en"/>
        </w:rPr>
        <w:t>220</w:t>
      </w:r>
      <w:r w:rsidR="00625A6C" w:rsidRPr="00EE0E83">
        <w:rPr>
          <w:rFonts w:ascii="Times New Roman" w:eastAsia="新細明體" w:hAnsi="Times New Roman" w:cs="Times New Roman"/>
          <w:color w:val="222222"/>
          <w:sz w:val="20"/>
          <w:szCs w:val="20"/>
          <w:shd w:val="clear" w:color="auto" w:fill="FFFFFF"/>
          <w:lang w:val="en"/>
        </w:rPr>
        <w:t xml:space="preserve">, 11– 20, </w:t>
      </w:r>
      <w:r w:rsidRPr="00EE0E83">
        <w:rPr>
          <w:rFonts w:ascii="Times New Roman" w:eastAsia="新細明體" w:hAnsi="Times New Roman" w:cs="Times New Roman"/>
          <w:color w:val="222222"/>
          <w:sz w:val="20"/>
          <w:szCs w:val="20"/>
          <w:shd w:val="clear" w:color="auto" w:fill="FFFFFF"/>
          <w:lang w:val="en"/>
        </w:rPr>
        <w:t xml:space="preserve">DOI: 10.1016/j.ymeth.2023.10.008 </w:t>
      </w:r>
    </w:p>
    <w:p w:rsidR="00395C58" w:rsidRDefault="00395C58" w:rsidP="00836EC9">
      <w:pPr>
        <w:jc w:val="both"/>
        <w:rPr>
          <w:rFonts w:ascii="Times New Roman" w:hAnsi="Times New Roman" w:cs="Times New Roman"/>
          <w:sz w:val="24"/>
          <w:szCs w:val="24"/>
        </w:rPr>
      </w:pPr>
    </w:p>
    <w:p w:rsidR="00252078" w:rsidRDefault="00252078" w:rsidP="00836EC9">
      <w:pPr>
        <w:jc w:val="both"/>
        <w:rPr>
          <w:rFonts w:ascii="Times New Roman" w:hAnsi="Times New Roman" w:cs="Times New Roman"/>
          <w:b/>
          <w:sz w:val="24"/>
          <w:szCs w:val="24"/>
        </w:rPr>
      </w:pPr>
      <w:r>
        <w:rPr>
          <w:rFonts w:ascii="Times New Roman" w:hAnsi="Times New Roman" w:cs="Times New Roman"/>
          <w:b/>
          <w:sz w:val="24"/>
          <w:szCs w:val="24"/>
        </w:rPr>
        <w:t>Supplementary Material S4</w:t>
      </w:r>
      <w:r w:rsidRPr="0091459C">
        <w:rPr>
          <w:rFonts w:ascii="Times New Roman" w:hAnsi="Times New Roman" w:cs="Times New Roman"/>
          <w:b/>
          <w:sz w:val="24"/>
          <w:szCs w:val="24"/>
        </w:rPr>
        <w:t>:</w:t>
      </w:r>
    </w:p>
    <w:p w:rsidR="009B6114" w:rsidRPr="00252078" w:rsidRDefault="009B6114" w:rsidP="00836EC9">
      <w:pPr>
        <w:jc w:val="both"/>
        <w:rPr>
          <w:rFonts w:ascii="Times New Roman" w:hAnsi="Times New Roman" w:cs="Times New Roman"/>
          <w:b/>
          <w:sz w:val="24"/>
          <w:szCs w:val="24"/>
        </w:rPr>
      </w:pPr>
      <w:r w:rsidRPr="009B6114">
        <w:rPr>
          <w:rFonts w:ascii="Times New Roman" w:hAnsi="Times New Roman" w:cs="Times New Roman"/>
          <w:b/>
          <w:sz w:val="24"/>
          <w:szCs w:val="24"/>
        </w:rPr>
        <w:t>Sequence Length Selection</w:t>
      </w:r>
      <w:r>
        <w:rPr>
          <w:rFonts w:ascii="Times New Roman" w:hAnsi="Times New Roman" w:cs="Times New Roman"/>
          <w:b/>
          <w:sz w:val="24"/>
          <w:szCs w:val="24"/>
        </w:rPr>
        <w:t>:</w:t>
      </w:r>
    </w:p>
    <w:p w:rsidR="00BA623A" w:rsidRDefault="00BA623A" w:rsidP="0092131A">
      <w:pPr>
        <w:jc w:val="both"/>
        <w:rPr>
          <w:rFonts w:ascii="Times New Roman" w:hAnsi="Times New Roman" w:cs="Times New Roman"/>
          <w:sz w:val="24"/>
          <w:szCs w:val="24"/>
        </w:rPr>
      </w:pPr>
      <w:r w:rsidRPr="00EE0E83">
        <w:rPr>
          <w:rFonts w:ascii="Times New Roman" w:hAnsi="Times New Roman" w:cs="Times New Roman"/>
          <w:sz w:val="24"/>
          <w:szCs w:val="24"/>
        </w:rPr>
        <w:t xml:space="preserve">For this study, we selected a </w:t>
      </w:r>
      <w:r w:rsidRPr="00EE0E83">
        <w:rPr>
          <w:rFonts w:ascii="Times New Roman" w:hAnsi="Times New Roman" w:cs="Times New Roman"/>
          <w:b/>
          <w:sz w:val="24"/>
          <w:szCs w:val="24"/>
        </w:rPr>
        <w:t>sequence length cutoff of 1100</w:t>
      </w:r>
      <w:r w:rsidRPr="00EE0E83">
        <w:rPr>
          <w:rFonts w:ascii="Times New Roman" w:hAnsi="Times New Roman" w:cs="Times New Roman"/>
          <w:sz w:val="24"/>
          <w:szCs w:val="24"/>
        </w:rPr>
        <w:t xml:space="preserve"> amino acids. This decision was based on an analysis of the dataset, </w:t>
      </w:r>
      <w:r w:rsidR="00023B1E" w:rsidRPr="00EE0E83">
        <w:rPr>
          <w:rFonts w:ascii="Times New Roman" w:hAnsi="Times New Roman" w:cs="Times New Roman"/>
          <w:b/>
          <w:sz w:val="24"/>
          <w:szCs w:val="24"/>
        </w:rPr>
        <w:t>where we found that 90</w:t>
      </w:r>
      <w:r w:rsidRPr="00EE0E83">
        <w:rPr>
          <w:rFonts w:ascii="Times New Roman" w:hAnsi="Times New Roman" w:cs="Times New Roman"/>
          <w:b/>
          <w:sz w:val="24"/>
          <w:szCs w:val="24"/>
        </w:rPr>
        <w:t>% of the sequences were under 1100 amino acids in length</w:t>
      </w:r>
      <w:r w:rsidRPr="00EE0E83">
        <w:rPr>
          <w:rFonts w:ascii="Times New Roman" w:hAnsi="Times New Roman" w:cs="Times New Roman"/>
          <w:sz w:val="24"/>
          <w:szCs w:val="24"/>
        </w:rPr>
        <w:t>. By setting the sequence length at 1100, we ensure that the majority of the data is captured without introducing excessive padding or truncation, which could negatively affect model performance. This length was chosen to maintain the integrity of the protein sequences while minimizing unnecessary computational complexity. It also reflects the typical length range for sodium transporters and membrane proteins, ensuring biologically relevant features are retained for accurate classification</w:t>
      </w:r>
      <w:r w:rsidR="0092131A" w:rsidRPr="00EE0E83">
        <w:rPr>
          <w:rFonts w:ascii="Times New Roman" w:hAnsi="Times New Roman" w:cs="Times New Roman"/>
          <w:sz w:val="24"/>
          <w:szCs w:val="24"/>
        </w:rPr>
        <w:t>.</w:t>
      </w:r>
    </w:p>
    <w:p w:rsidR="009974A6" w:rsidRDefault="009974A6" w:rsidP="0092131A">
      <w:pPr>
        <w:jc w:val="both"/>
        <w:rPr>
          <w:rFonts w:ascii="Times New Roman" w:hAnsi="Times New Roman" w:cs="Times New Roman"/>
          <w:b/>
          <w:sz w:val="24"/>
          <w:szCs w:val="24"/>
        </w:rPr>
      </w:pPr>
      <w:r w:rsidRPr="009974A6">
        <w:rPr>
          <w:rFonts w:ascii="Times New Roman" w:hAnsi="Times New Roman" w:cs="Times New Roman"/>
          <w:b/>
          <w:sz w:val="24"/>
          <w:szCs w:val="24"/>
        </w:rPr>
        <w:t>Suppl</w:t>
      </w:r>
      <w:r>
        <w:rPr>
          <w:rFonts w:ascii="Times New Roman" w:hAnsi="Times New Roman" w:cs="Times New Roman"/>
          <w:b/>
          <w:sz w:val="24"/>
          <w:szCs w:val="24"/>
        </w:rPr>
        <w:t>ementary Material S5:</w:t>
      </w:r>
    </w:p>
    <w:p w:rsidR="00853317" w:rsidRPr="009A686A" w:rsidRDefault="00853317" w:rsidP="0092131A">
      <w:pPr>
        <w:jc w:val="both"/>
        <w:rPr>
          <w:rFonts w:ascii="Times New Roman" w:hAnsi="Times New Roman" w:cs="Times New Roman"/>
          <w:b/>
          <w:sz w:val="24"/>
          <w:szCs w:val="24"/>
        </w:rPr>
      </w:pPr>
      <w:r w:rsidRPr="009A686A">
        <w:rPr>
          <w:rFonts w:ascii="Times New Roman" w:hAnsi="Times New Roman" w:cs="Times New Roman"/>
          <w:b/>
          <w:sz w:val="24"/>
          <w:szCs w:val="24"/>
        </w:rPr>
        <w:t>CD-HIT Clustering to reduce the Similarity</w:t>
      </w:r>
    </w:p>
    <w:p w:rsidR="006E0D98" w:rsidRPr="00EE0E83" w:rsidRDefault="00FA4D88" w:rsidP="00FA4D88">
      <w:pPr>
        <w:jc w:val="both"/>
        <w:rPr>
          <w:rFonts w:ascii="Times New Roman" w:hAnsi="Times New Roman" w:cs="Times New Roman"/>
          <w:sz w:val="24"/>
          <w:szCs w:val="24"/>
        </w:rPr>
      </w:pPr>
      <w:r w:rsidRPr="00EE0E83">
        <w:rPr>
          <w:rFonts w:ascii="Times New Roman" w:hAnsi="Times New Roman" w:cs="Times New Roman"/>
          <w:sz w:val="24"/>
          <w:szCs w:val="24"/>
        </w:rPr>
        <w:t xml:space="preserve">We chose a 60% similarity threshold for CD-HIT clustering in order to reduce redundancy in the dataset while maintaining sufficient sequence diversity. This threshold strikes a balance between </w:t>
      </w:r>
      <w:r w:rsidRPr="00EE0E83">
        <w:rPr>
          <w:rFonts w:ascii="Times New Roman" w:hAnsi="Times New Roman" w:cs="Times New Roman"/>
          <w:sz w:val="24"/>
          <w:szCs w:val="24"/>
        </w:rPr>
        <w:lastRenderedPageBreak/>
        <w:t>retaining representative sequences and eliminating highly similar ones, which could lead to model overfitting. By clustering sequences at 60%, we ensure that our machine learning model is trained on a more diverse set of protein sequences, capturing a wider range of functional and structural variations. This approach helps to improve the model's generalizability while preventing the introduction of bias from overly similar sequences.</w:t>
      </w:r>
    </w:p>
    <w:p w:rsidR="00DD336B" w:rsidRPr="00EE0E83" w:rsidRDefault="00DD336B" w:rsidP="00FA4D88">
      <w:pPr>
        <w:jc w:val="both"/>
        <w:rPr>
          <w:rFonts w:ascii="Times New Roman" w:hAnsi="Times New Roman" w:cs="Times New Roman"/>
          <w:sz w:val="24"/>
          <w:szCs w:val="24"/>
        </w:rPr>
      </w:pPr>
    </w:p>
    <w:p w:rsidR="00853317" w:rsidRPr="00EE0E83" w:rsidRDefault="00853317" w:rsidP="00FA4D88">
      <w:pPr>
        <w:jc w:val="both"/>
        <w:rPr>
          <w:rFonts w:ascii="Times New Roman" w:hAnsi="Times New Roman" w:cs="Times New Roman"/>
          <w:sz w:val="24"/>
          <w:szCs w:val="24"/>
        </w:rPr>
      </w:pPr>
    </w:p>
    <w:p w:rsidR="003C4DA5" w:rsidRPr="00EE0E83" w:rsidRDefault="003C4DA5" w:rsidP="00FA4D88">
      <w:pPr>
        <w:jc w:val="both"/>
        <w:rPr>
          <w:rFonts w:ascii="Times New Roman" w:hAnsi="Times New Roman" w:cs="Times New Roman"/>
          <w:sz w:val="24"/>
          <w:szCs w:val="24"/>
        </w:rPr>
      </w:pPr>
    </w:p>
    <w:sectPr w:rsidR="003C4DA5" w:rsidRPr="00EE0E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D59AC"/>
    <w:multiLevelType w:val="multilevel"/>
    <w:tmpl w:val="D9E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B0"/>
    <w:rsid w:val="00023B1E"/>
    <w:rsid w:val="00070401"/>
    <w:rsid w:val="00082679"/>
    <w:rsid w:val="000E5329"/>
    <w:rsid w:val="001245FB"/>
    <w:rsid w:val="00165C54"/>
    <w:rsid w:val="001D6B6F"/>
    <w:rsid w:val="00221F67"/>
    <w:rsid w:val="00252078"/>
    <w:rsid w:val="00293CF8"/>
    <w:rsid w:val="002F79F2"/>
    <w:rsid w:val="00320C16"/>
    <w:rsid w:val="00333C99"/>
    <w:rsid w:val="00395C58"/>
    <w:rsid w:val="003A7186"/>
    <w:rsid w:val="003C4DA5"/>
    <w:rsid w:val="00430A8F"/>
    <w:rsid w:val="00486BC8"/>
    <w:rsid w:val="004F071B"/>
    <w:rsid w:val="0053397A"/>
    <w:rsid w:val="00547007"/>
    <w:rsid w:val="00557BDE"/>
    <w:rsid w:val="00571BCE"/>
    <w:rsid w:val="005726F8"/>
    <w:rsid w:val="00584AC0"/>
    <w:rsid w:val="00625A6C"/>
    <w:rsid w:val="00685DF7"/>
    <w:rsid w:val="006E0D98"/>
    <w:rsid w:val="0074153C"/>
    <w:rsid w:val="007E7759"/>
    <w:rsid w:val="00836EC9"/>
    <w:rsid w:val="00853317"/>
    <w:rsid w:val="008639FF"/>
    <w:rsid w:val="00866E6C"/>
    <w:rsid w:val="008675A4"/>
    <w:rsid w:val="0091459C"/>
    <w:rsid w:val="0092131A"/>
    <w:rsid w:val="00952191"/>
    <w:rsid w:val="00975698"/>
    <w:rsid w:val="009974A6"/>
    <w:rsid w:val="009A686A"/>
    <w:rsid w:val="009B015B"/>
    <w:rsid w:val="009B6114"/>
    <w:rsid w:val="00A42DD5"/>
    <w:rsid w:val="00A64A32"/>
    <w:rsid w:val="00A80743"/>
    <w:rsid w:val="00A965CB"/>
    <w:rsid w:val="00AD65E1"/>
    <w:rsid w:val="00AD7AE4"/>
    <w:rsid w:val="00AF603C"/>
    <w:rsid w:val="00B14432"/>
    <w:rsid w:val="00B66A32"/>
    <w:rsid w:val="00B802EA"/>
    <w:rsid w:val="00B81CB0"/>
    <w:rsid w:val="00BA41B0"/>
    <w:rsid w:val="00BA623A"/>
    <w:rsid w:val="00BC5F3C"/>
    <w:rsid w:val="00C32DAE"/>
    <w:rsid w:val="00CA1963"/>
    <w:rsid w:val="00CD0A01"/>
    <w:rsid w:val="00D132EC"/>
    <w:rsid w:val="00D47C85"/>
    <w:rsid w:val="00D67058"/>
    <w:rsid w:val="00DD336B"/>
    <w:rsid w:val="00DE0840"/>
    <w:rsid w:val="00E55980"/>
    <w:rsid w:val="00EA08EF"/>
    <w:rsid w:val="00EC1784"/>
    <w:rsid w:val="00EE0E83"/>
    <w:rsid w:val="00F55424"/>
    <w:rsid w:val="00FA04C7"/>
    <w:rsid w:val="00FA4D88"/>
    <w:rsid w:val="00FB2C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7855"/>
  <w15:chartTrackingRefBased/>
  <w15:docId w15:val="{FC8E6763-B340-462D-9529-839007B1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CB0"/>
    <w:rPr>
      <w:rFonts w:eastAsiaTheme="minorEastAsia"/>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0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 Lab</dc:creator>
  <cp:keywords/>
  <dc:description/>
  <cp:lastModifiedBy>馬力克</cp:lastModifiedBy>
  <cp:revision>344</cp:revision>
  <dcterms:created xsi:type="dcterms:W3CDTF">2024-09-13T15:47:00Z</dcterms:created>
  <dcterms:modified xsi:type="dcterms:W3CDTF">2024-10-14T06:53:00Z</dcterms:modified>
</cp:coreProperties>
</file>