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договор-публичной-оферты"/>
    <w:p>
      <w:pPr>
        <w:pStyle w:val="Heading1"/>
      </w:pPr>
      <w:r>
        <w:t xml:space="preserve">Договор публичной оферты</w:t>
      </w:r>
    </w:p>
    <w:p>
      <w:pPr>
        <w:pStyle w:val="FirstParagraph"/>
      </w:pPr>
      <w:r>
        <w:rPr>
          <w:b/>
          <w:bCs/>
        </w:rPr>
        <w:t xml:space="preserve">Ассоциация трихологов и специалистов в области исследования волос «Профессиональное общество трихологов»</w:t>
      </w:r>
    </w:p>
    <w:p>
      <w:pPr>
        <w:pStyle w:val="BodyText"/>
      </w:pPr>
      <w:r>
        <w:rPr>
          <w:b/>
          <w:bCs/>
        </w:rPr>
        <w:t xml:space="preserve">Сайт: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br/>
      </w:r>
      <w:r>
        <w:rPr>
          <w:b/>
          <w:bCs/>
        </w:rPr>
        <w:t xml:space="preserve">Дата публикации текста:</w:t>
      </w:r>
      <w:r>
        <w:t xml:space="preserve"> </w:t>
      </w:r>
      <w:r>
        <w:rPr>
          <w:i/>
          <w:iCs/>
        </w:rPr>
        <w:t xml:space="preserve">указать дату размещения на сайте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i/>
          <w:iCs/>
        </w:rPr>
        <w:t xml:space="preserve">(при изменении условий — новая редакция с новой датой)</w:t>
      </w:r>
    </w:p>
    <w:p>
      <w:r>
        <w:pict>
          <v:rect style="width:0;height:1.5pt" o:hralign="center" o:hrstd="t" o:hr="t"/>
        </w:pict>
      </w:r>
    </w:p>
    <w:bookmarkStart w:id="21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Настоящий документ является</w:t>
      </w:r>
      <w:r>
        <w:t xml:space="preserve"> </w:t>
      </w:r>
      <w:r>
        <w:rPr>
          <w:b/>
          <w:bCs/>
        </w:rPr>
        <w:t xml:space="preserve">публичной офертой</w:t>
      </w:r>
      <w:r>
        <w:t xml:space="preserve"> </w:t>
      </w:r>
      <w:r>
        <w:t xml:space="preserve">в смысле ст. 437 Гражданского кодекса Российской Федерации. Акцептом (принятием) оферты считается</w:t>
      </w:r>
      <w:r>
        <w:t xml:space="preserve"> </w:t>
      </w:r>
      <w:r>
        <w:rPr>
          <w:b/>
          <w:bCs/>
        </w:rPr>
        <w:t xml:space="preserve">полная оплата</w:t>
      </w:r>
      <w:r>
        <w:t xml:space="preserve"> </w:t>
      </w:r>
      <w:r>
        <w:t xml:space="preserve">услуги / взноса / участия в мероприятии через функционал сайта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t xml:space="preserve"> </w:t>
      </w:r>
      <w:r>
        <w:t xml:space="preserve">либо иное согласованное с Ассоциацией оформление, в том числе оплата по выставленному счёту.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Исполнитель</w:t>
      </w:r>
      <w:r>
        <w:t xml:space="preserve"> </w:t>
      </w:r>
      <w:r>
        <w:t xml:space="preserve">— Ассоциация трихологов и специалистов в области исследования волос «Профессиональное общество трихологов» (далее —</w:t>
      </w:r>
      <w:r>
        <w:t xml:space="preserve"> </w:t>
      </w:r>
      <w:r>
        <w:rPr>
          <w:b/>
          <w:bCs/>
        </w:rPr>
        <w:t xml:space="preserve">Ассоциация</w:t>
      </w:r>
      <w:r>
        <w:t xml:space="preserve">). Реквизиты и контакты размещены на странице «Контактная информация» на сайте.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Заказчик (покупатель)</w:t>
      </w:r>
      <w:r>
        <w:t xml:space="preserve"> </w:t>
      </w:r>
      <w:r>
        <w:t xml:space="preserve">— дееспособное физическое лицо либо представитель юридического лица / ИП, оформивший заказ и оплату в соответствии с правилами сайта.</w:t>
      </w:r>
    </w:p>
    <w:p>
      <w:pPr>
        <w:pStyle w:val="BodyText"/>
      </w:pPr>
      <w:r>
        <w:t xml:space="preserve">1.4. К отношениям сторон применяются законодательство Российской Федерации, в том числе о защите прав потребителей (при продаже товаров / оказании услуг физическим лицам — потребителям), о некоммерческих организациях — в части, не противоречащей настоящей оферте.</w:t>
      </w:r>
    </w:p>
    <w:p>
      <w:pPr>
        <w:pStyle w:val="BodyText"/>
      </w:pPr>
      <w:r>
        <w:t xml:space="preserve">1.5. Положение о членстве, правила участия в мероприятиях и иные внутренние документы Ассоциации, размещённые на сайте, являются</w:t>
      </w:r>
      <w:r>
        <w:t xml:space="preserve"> </w:t>
      </w:r>
      <w:r>
        <w:rPr>
          <w:b/>
          <w:bCs/>
        </w:rPr>
        <w:t xml:space="preserve">неотъемлемой частью</w:t>
      </w:r>
      <w:r>
        <w:t xml:space="preserve"> </w:t>
      </w:r>
      <w:r>
        <w:t xml:space="preserve">договора в той мере, в какой они прямо на них ссылаются или дублируют обязательные условия.</w:t>
      </w:r>
    </w:p>
    <w:p>
      <w:r>
        <w:pict>
          <v:rect style="width:0;height:1.5pt" o:hralign="center" o:hrstd="t" o:hr="t"/>
        </w:pict>
      </w:r>
    </w:p>
    <w:bookmarkEnd w:id="21"/>
    <w:bookmarkStart w:id="22" w:name="предмет-договора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t xml:space="preserve">2.1. Ассоциация обязуется оказать</w:t>
      </w:r>
      <w:r>
        <w:t xml:space="preserve"> </w:t>
      </w:r>
      <w:r>
        <w:rPr>
          <w:b/>
          <w:bCs/>
        </w:rPr>
        <w:t xml:space="preserve">услуги информационного, организационного и иного характера</w:t>
      </w:r>
      <w:r>
        <w:t xml:space="preserve">, предусмотренные выбранным на сайте предложением, в частности:</w:t>
      </w:r>
    </w:p>
    <w:p>
      <w:pPr>
        <w:pStyle w:val="Compact"/>
        <w:numPr>
          <w:ilvl w:val="0"/>
          <w:numId w:val="1001"/>
        </w:numPr>
      </w:pPr>
      <w:r>
        <w:t xml:space="preserve">приём и учёт</w:t>
      </w:r>
      <w:r>
        <w:t xml:space="preserve"> </w:t>
      </w:r>
      <w:r>
        <w:rPr>
          <w:b/>
          <w:bCs/>
        </w:rPr>
        <w:t xml:space="preserve">вступительного и членских взносов</w:t>
      </w:r>
      <w:r>
        <w:t xml:space="preserve">, предоставление статуса члена Ассоциации и связанных прав в рамках устава и Положения о членстве;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регистрация и обеспечение участия</w:t>
      </w:r>
      <w:r>
        <w:t xml:space="preserve"> </w:t>
      </w:r>
      <w:r>
        <w:t xml:space="preserve">в мероприятиях (конференциях, семинарах и т.п.) — в объёме, указанном в описании соответствующего мероприятия;</w:t>
      </w:r>
    </w:p>
    <w:p>
      <w:pPr>
        <w:pStyle w:val="Compact"/>
        <w:numPr>
          <w:ilvl w:val="0"/>
          <w:numId w:val="1001"/>
        </w:numPr>
      </w:pPr>
      <w:r>
        <w:t xml:space="preserve">иные платные услуги / цифровые продукты, явно представленные на сайте с указанием цены и условий.</w:t>
      </w:r>
    </w:p>
    <w:p>
      <w:pPr>
        <w:pStyle w:val="FirstParagraph"/>
      </w:pPr>
      <w:r>
        <w:t xml:space="preserve">2.2. Конкретный состав услуги, цена, сроки и ограничения определяются</w:t>
      </w:r>
      <w:r>
        <w:t xml:space="preserve"> </w:t>
      </w:r>
      <w:r>
        <w:rPr>
          <w:b/>
          <w:bCs/>
        </w:rPr>
        <w:t xml:space="preserve">описанием на странице оплаты</w:t>
      </w:r>
      <w:r>
        <w:t xml:space="preserve"> </w:t>
      </w:r>
      <w:r>
        <w:t xml:space="preserve">и подтверждаются фактом оплаты.</w:t>
      </w:r>
    </w:p>
    <w:p>
      <w:pPr>
        <w:pStyle w:val="BodyText"/>
      </w:pPr>
      <w:r>
        <w:t xml:space="preserve">2.3. Если на сайте предлагается</w:t>
      </w:r>
      <w:r>
        <w:t xml:space="preserve"> </w:t>
      </w:r>
      <w:r>
        <w:rPr>
          <w:b/>
          <w:bCs/>
        </w:rPr>
        <w:t xml:space="preserve">товар</w:t>
      </w:r>
      <w:r>
        <w:t xml:space="preserve"> </w:t>
      </w:r>
      <w:r>
        <w:t xml:space="preserve">(в т.ч. записи, материалы на носителе), к отношениям применяются положения о купле-продаже / дистанционной продаже в соответствии с законом; характеристики и комплектность — в описании товара.</w:t>
      </w:r>
    </w:p>
    <w:p>
      <w:r>
        <w:pict>
          <v:rect style="width:0;height:1.5pt" o:hralign="center" o:hrstd="t" o:hr="t"/>
        </w:pict>
      </w:r>
    </w:p>
    <w:bookmarkEnd w:id="22"/>
    <w:bookmarkStart w:id="23" w:name="цена-и-порядок-оплаты"/>
    <w:p>
      <w:pPr>
        <w:pStyle w:val="Heading2"/>
      </w:pPr>
      <w:r>
        <w:t xml:space="preserve">3. Цена и порядок оплаты</w:t>
      </w:r>
    </w:p>
    <w:p>
      <w:pPr>
        <w:pStyle w:val="FirstParagraph"/>
      </w:pPr>
      <w:r>
        <w:t xml:space="preserve">3.1. Цены указаны на сайте в рублях РФ, если не оговорено иное. Все платежи принимаются в рублях.</w:t>
      </w:r>
    </w:p>
    <w:p>
      <w:pPr>
        <w:pStyle w:val="BodyText"/>
      </w:pPr>
      <w:r>
        <w:t xml:space="preserve">3.2. Онлайн-оплата банковскими картами и иными способами, доступными в интерфейсе, обрабатывается платёжным сервисом</w:t>
      </w:r>
      <w:r>
        <w:t xml:space="preserve"> </w:t>
      </w:r>
      <w:r>
        <w:rPr>
          <w:b/>
          <w:bCs/>
        </w:rPr>
        <w:t xml:space="preserve">PayAnyWay</w:t>
      </w:r>
      <w:r>
        <w:t xml:space="preserve">; условия прохождения платежа и безопасность — в разделе «Способы оплаты».</w:t>
      </w:r>
    </w:p>
    <w:p>
      <w:pPr>
        <w:pStyle w:val="BodyText"/>
      </w:pPr>
      <w:r>
        <w:t xml:space="preserve">3.3. Оплата по счёту для юридических лиц и ИП — по реквизитам, указанным в счёте и на странице контактной информации (после обновления банковских данных).</w:t>
      </w:r>
    </w:p>
    <w:p>
      <w:pPr>
        <w:pStyle w:val="BodyText"/>
      </w:pPr>
      <w:r>
        <w:t xml:space="preserve">3.4. Обязательства Ассоциации по оказанию услуги возникают с момента</w:t>
      </w:r>
      <w:r>
        <w:t xml:space="preserve"> </w:t>
      </w:r>
      <w:r>
        <w:rPr>
          <w:b/>
          <w:bCs/>
        </w:rPr>
        <w:t xml:space="preserve">зачисления оплаты</w:t>
      </w:r>
      <w:r>
        <w:t xml:space="preserve"> </w:t>
      </w:r>
      <w:r>
        <w:t xml:space="preserve">в соответствии с правилами платёжной системы или банка.</w:t>
      </w:r>
    </w:p>
    <w:p>
      <w:r>
        <w:pict>
          <v:rect style="width:0;height:1.5pt" o:hralign="center" o:hrstd="t" o:hr="t"/>
        </w:pict>
      </w:r>
    </w:p>
    <w:bookmarkEnd w:id="23"/>
    <w:bookmarkStart w:id="24" w:name="сроки-оказания-услуг"/>
    <w:p>
      <w:pPr>
        <w:pStyle w:val="Heading2"/>
      </w:pPr>
      <w:r>
        <w:t xml:space="preserve">4. Сроки оказания услуг</w:t>
      </w:r>
    </w:p>
    <w:p>
      <w:pPr>
        <w:pStyle w:val="FirstParagraph"/>
      </w:pPr>
      <w:r>
        <w:t xml:space="preserve">4.1. Сроки предоставления доступа к сервисам сайта, подтверждения участия в мероприятии и иных результатов —</w:t>
      </w:r>
      <w:r>
        <w:t xml:space="preserve"> </w:t>
      </w:r>
      <w:r>
        <w:rPr>
          <w:b/>
          <w:bCs/>
        </w:rPr>
        <w:t xml:space="preserve">разумные</w:t>
      </w:r>
      <w:r>
        <w:t xml:space="preserve"> </w:t>
      </w:r>
      <w:r>
        <w:t xml:space="preserve">с момента подтверждения оплаты, если иной срок не указан на сайте для конкретной услуги.</w:t>
      </w:r>
    </w:p>
    <w:p>
      <w:pPr>
        <w:pStyle w:val="BodyText"/>
      </w:pPr>
      <w:r>
        <w:t xml:space="preserve">4.2. При сбоях в информационных системах Ассоциация принимает меры к восстановлению доступа; обращения принимаются по контактам на сайте.</w:t>
      </w:r>
    </w:p>
    <w:p>
      <w:r>
        <w:pict>
          <v:rect style="width:0;height:1.5pt" o:hralign="center" o:hrstd="t" o:hr="t"/>
        </w:pict>
      </w:r>
    </w:p>
    <w:bookmarkEnd w:id="24"/>
    <w:bookmarkStart w:id="25" w:name="доставка-товара"/>
    <w:p>
      <w:pPr>
        <w:pStyle w:val="Heading2"/>
      </w:pPr>
      <w:r>
        <w:t xml:space="preserve">5. Доставка товара</w:t>
      </w:r>
    </w:p>
    <w:p>
      <w:pPr>
        <w:pStyle w:val="FirstParagraph"/>
      </w:pPr>
      <w:r>
        <w:t xml:space="preserve">5.1. Если услуга / товар предполагает</w:t>
      </w:r>
      <w:r>
        <w:t xml:space="preserve"> </w:t>
      </w:r>
      <w:r>
        <w:rPr>
          <w:b/>
          <w:bCs/>
        </w:rPr>
        <w:t xml:space="preserve">доставку материального носителя</w:t>
      </w:r>
      <w:r>
        <w:t xml:space="preserve">, сроки и способ согласовываются в описании предложения или отдельно с Заказчиком.</w:t>
      </w:r>
    </w:p>
    <w:p>
      <w:pPr>
        <w:pStyle w:val="BodyText"/>
      </w:pPr>
      <w:r>
        <w:t xml:space="preserve">5.2. По умолчанию основной объём взаимодействия —</w:t>
      </w:r>
      <w:r>
        <w:t xml:space="preserve"> </w:t>
      </w:r>
      <w:r>
        <w:rPr>
          <w:b/>
          <w:bCs/>
        </w:rPr>
        <w:t xml:space="preserve">без необходимости физической доставки</w:t>
      </w:r>
      <w:r>
        <w:t xml:space="preserve"> </w:t>
      </w:r>
      <w:r>
        <w:t xml:space="preserve">(доступ в личном кабинете, электронные подтверждения).</w:t>
      </w:r>
    </w:p>
    <w:p>
      <w:r>
        <w:pict>
          <v:rect style="width:0;height:1.5pt" o:hralign="center" o:hrstd="t" o:hr="t"/>
        </w:pict>
      </w:r>
    </w:p>
    <w:bookmarkEnd w:id="25"/>
    <w:bookmarkStart w:id="26" w:name="отказ-от-услуги.-возврат-средств"/>
    <w:p>
      <w:pPr>
        <w:pStyle w:val="Heading2"/>
      </w:pPr>
      <w:r>
        <w:t xml:space="preserve">6. Отказ от услуги. Возврат средств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Физическое лицо — потребитель</w:t>
      </w:r>
      <w:r>
        <w:t xml:space="preserve"> </w:t>
      </w:r>
      <w:r>
        <w:t xml:space="preserve">вправе отказаться от договора оказания услуг и потребовать возврата уплаченных средств в случаях и порядке, предусмотренных ФЗ «О защите прав потребителей», с учётом особенностей некоммерческих организаций и членских взносов.</w:t>
      </w:r>
    </w:p>
    <w:p>
      <w:pPr>
        <w:pStyle w:val="BodyText"/>
      </w:pPr>
      <w:r>
        <w:t xml:space="preserve">6.2. Возврат по основаниям, предусмотренным законом или настоящей офертой, осуществляется на те же способы оплаты, с которых поступили средства, если иное невозможно по техническим причинам платёжной системы; сроки зачисления зависят от банка и провайдера.</w:t>
      </w:r>
    </w:p>
    <w:p>
      <w:pPr>
        <w:pStyle w:val="BodyText"/>
      </w:pPr>
      <w:r>
        <w:t xml:space="preserve">6.3. Подробный порядок возврата изложен в разделе</w:t>
      </w:r>
      <w:r>
        <w:t xml:space="preserve"> </w:t>
      </w:r>
      <w:r>
        <w:rPr>
          <w:b/>
          <w:bCs/>
        </w:rPr>
        <w:t xml:space="preserve">«Информация о возврате»</w:t>
      </w:r>
      <w:r>
        <w:t xml:space="preserve"> </w:t>
      </w:r>
      <w:r>
        <w:t xml:space="preserve">на сайте и в Положении о членстве (для членских платежей).</w:t>
      </w:r>
    </w:p>
    <w:p>
      <w:r>
        <w:pict>
          <v:rect style="width:0;height:1.5pt" o:hralign="center" o:hrstd="t" o:hr="t"/>
        </w:pict>
      </w:r>
    </w:p>
    <w:bookmarkEnd w:id="26"/>
    <w:bookmarkStart w:id="27" w:name="ответственность-сторон"/>
    <w:p>
      <w:pPr>
        <w:pStyle w:val="Heading2"/>
      </w:pPr>
      <w:r>
        <w:t xml:space="preserve">7. Ответственность сторон</w:t>
      </w:r>
    </w:p>
    <w:p>
      <w:pPr>
        <w:pStyle w:val="FirstParagraph"/>
      </w:pPr>
      <w:r>
        <w:t xml:space="preserve">7.1. Ассоциация не отвечает за невозможность оказания услуги по причинам, не зависящим от неё (форс-мажор, сбои третьих лиц — платёжных систем, связи и т.д.), но обязуется содействовать устранению проблем в разумных пределах.</w:t>
      </w:r>
    </w:p>
    <w:p>
      <w:pPr>
        <w:pStyle w:val="BodyText"/>
      </w:pPr>
      <w:r>
        <w:t xml:space="preserve">7.2. Заказчик несёт ответственность за достоверность данных, указанных при оформлении заказа.</w:t>
      </w:r>
    </w:p>
    <w:p>
      <w:r>
        <w:pict>
          <v:rect style="width:0;height:1.5pt" o:hralign="center" o:hrstd="t" o:hr="t"/>
        </w:pict>
      </w:r>
    </w:p>
    <w:bookmarkEnd w:id="27"/>
    <w:bookmarkStart w:id="28" w:name="персональные-данные"/>
    <w:p>
      <w:pPr>
        <w:pStyle w:val="Heading2"/>
      </w:pPr>
      <w:r>
        <w:t xml:space="preserve">8. Персональные данные</w:t>
      </w:r>
    </w:p>
    <w:p>
      <w:pPr>
        <w:pStyle w:val="FirstParagraph"/>
      </w:pPr>
      <w:r>
        <w:t xml:space="preserve">8.1. Обработка персональных данных осуществляется в соответствии с Политикой конфиденциальности (персональных данных), размещённой на сайте, и законодательством РФ.</w:t>
      </w:r>
    </w:p>
    <w:p>
      <w:r>
        <w:pict>
          <v:rect style="width:0;height:1.5pt" o:hralign="center" o:hrstd="t" o:hr="t"/>
        </w:pict>
      </w:r>
    </w:p>
    <w:bookmarkEnd w:id="28"/>
    <w:bookmarkStart w:id="29" w:name="разрешение-споров"/>
    <w:p>
      <w:pPr>
        <w:pStyle w:val="Heading2"/>
      </w:pPr>
      <w:r>
        <w:t xml:space="preserve">9. Разрешение споров</w:t>
      </w:r>
    </w:p>
    <w:p>
      <w:pPr>
        <w:pStyle w:val="FirstParagraph"/>
      </w:pPr>
      <w:r>
        <w:t xml:space="preserve">9.1. Споры разрешаются путём переговоров; при недостижении согласия — в судебном порядке по месту нахождения Ассоциации в соответствии с процессуальным законодательством РФ.</w:t>
      </w:r>
    </w:p>
    <w:p>
      <w:r>
        <w:pict>
          <v:rect style="width:0;height:1.5pt" o:hralign="center" o:hrstd="t" o:hr="t"/>
        </w:pict>
      </w:r>
    </w:p>
    <w:bookmarkEnd w:id="29"/>
    <w:bookmarkStart w:id="30" w:name="реквизиты-ассоциации"/>
    <w:p>
      <w:pPr>
        <w:pStyle w:val="Heading2"/>
      </w:pPr>
      <w:r>
        <w:t xml:space="preserve">10. Реквизиты Ассоциации</w:t>
      </w:r>
    </w:p>
    <w:p>
      <w:pPr>
        <w:pStyle w:val="FirstParagraph"/>
      </w:pPr>
      <w:r>
        <w:t xml:space="preserve">Реквизиты, контакты и банковские данные для оплаты по счёту приведены на странице</w:t>
      </w:r>
      <w:r>
        <w:t xml:space="preserve"> </w:t>
      </w:r>
      <w:r>
        <w:rPr>
          <w:b/>
          <w:bCs/>
        </w:rPr>
        <w:t xml:space="preserve">«Контактная информация»</w:t>
      </w:r>
      <w:r>
        <w:t xml:space="preserve"> </w:t>
      </w:r>
      <w:r>
        <w:t xml:space="preserve">на сайте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заключительные-положения"/>
    <w:p>
      <w:pPr>
        <w:pStyle w:val="Heading2"/>
      </w:pPr>
      <w:r>
        <w:t xml:space="preserve">11. Заключительные положения</w:t>
      </w:r>
    </w:p>
    <w:p>
      <w:pPr>
        <w:pStyle w:val="FirstParagraph"/>
      </w:pPr>
      <w:r>
        <w:t xml:space="preserve">11.1. Ассоциация вправе изменять условия оферты; новая редакция вступает в силу с момента публикации на сайте, если не указано иное. Оплаченные до изменения услуги оказываются на условиях, действовавших на момент оплаты.</w:t>
      </w:r>
    </w:p>
    <w:p>
      <w:pPr>
        <w:pStyle w:val="BodyText"/>
      </w:pPr>
      <w:r>
        <w:t xml:space="preserve">11.2.</w:t>
      </w:r>
      <w:r>
        <w:t xml:space="preserve"> </w:t>
      </w:r>
      <w:r>
        <w:rPr>
          <w:i/>
          <w:iCs/>
        </w:rPr>
        <w:t xml:space="preserve">Настоящий текст является шаблоном и подлежит согласованию с юристом организации перед публикацией.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Ассоциация трихологов и специалистов в области исследования волос «Профессиональное общество трихологов»</w:t>
      </w:r>
    </w:p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hyperlink r:id="rId31">
        <w:r>
          <w:rPr>
            <w:rStyle w:val="Hyperlink"/>
          </w:rPr>
          <w:t xml:space="preserve">Способы оплаты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Контактная информация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trichologia.ru/" TargetMode="External" /><Relationship Type="http://schemas.openxmlformats.org/officeDocument/2006/relationships/hyperlink" Id="rId32" Target="kontaktnaya_informaciya.md" TargetMode="External" /><Relationship Type="http://schemas.openxmlformats.org/officeDocument/2006/relationships/hyperlink" Id="rId31" Target="sposoby_opla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richologia.ru/" TargetMode="External" /><Relationship Type="http://schemas.openxmlformats.org/officeDocument/2006/relationships/hyperlink" Id="rId32" Target="kontaktnaya_informaciya.md" TargetMode="External" /><Relationship Type="http://schemas.openxmlformats.org/officeDocument/2006/relationships/hyperlink" Id="rId31" Target="sposoby_opla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2026-03-27T17:31:51Z</dcterms:created>
  <dcterms:modified xsi:type="dcterms:W3CDTF">2026-03-27T17:31:51Z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