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контактная-информация"/>
    <w:p>
      <w:pPr>
        <w:pStyle w:val="Heading1"/>
      </w:pPr>
      <w:r>
        <w:t xml:space="preserve">Контактная информация</w:t>
      </w:r>
    </w:p>
    <w:p>
      <w:pPr>
        <w:pStyle w:val="FirstParagraph"/>
      </w:pPr>
      <w:r>
        <w:rPr>
          <w:b/>
          <w:bCs/>
        </w:rPr>
        <w:t xml:space="preserve">Сайт:</w:t>
      </w:r>
      <w:r>
        <w:t xml:space="preserve"> </w:t>
      </w:r>
      <w:hyperlink r:id="rId20">
        <w:r>
          <w:rPr>
            <w:rStyle w:val="Hyperlink"/>
          </w:rPr>
          <w:t xml:space="preserve">trichologia.ru</w:t>
        </w:r>
      </w:hyperlink>
      <w:r>
        <w:br/>
      </w:r>
      <w:r>
        <w:rPr>
          <w:b/>
          <w:bCs/>
        </w:rPr>
        <w:t xml:space="preserve">Актуальность:</w:t>
      </w:r>
      <w:r>
        <w:t xml:space="preserve"> </w:t>
      </w:r>
      <w:r>
        <w:t xml:space="preserve">март 2025 г.</w:t>
      </w:r>
    </w:p>
    <w:p>
      <w:pPr>
        <w:pStyle w:val="BodyText"/>
      </w:pPr>
      <w:r>
        <w:t xml:space="preserve">Сведения о наименовании, адресах, ИНН, КПП, ОГРН и банковских реквизитах приведены по</w:t>
      </w:r>
      <w:r>
        <w:t xml:space="preserve"> </w:t>
      </w:r>
      <w:r>
        <w:rPr>
          <w:b/>
          <w:bCs/>
        </w:rPr>
        <w:t xml:space="preserve">карточке контрагента (ПАО «Банк ПСБ»)</w:t>
      </w:r>
      <w:r>
        <w:t xml:space="preserve"> </w:t>
      </w:r>
      <w:r>
        <w:t xml:space="preserve">— файл</w:t>
      </w:r>
      <w:r>
        <w:t xml:space="preserve"> </w:t>
      </w:r>
      <w:r>
        <w:rPr>
          <w:rStyle w:val="VerbatimChar"/>
        </w:rPr>
        <w:t xml:space="preserve">КАРТОЧКА ПСБ.docx</w:t>
      </w:r>
      <w:r>
        <w:t xml:space="preserve">. Перед публикацией рекомендуется сверка с</w:t>
      </w:r>
      <w:r>
        <w:t xml:space="preserve"> </w:t>
      </w:r>
      <w:r>
        <w:rPr>
          <w:b/>
          <w:bCs/>
        </w:rPr>
        <w:t xml:space="preserve">выпиской из ЕГРЮЛ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сервис ФНС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22" w:name="получатель-платежей-продавец-исполнитель"/>
    <w:p>
      <w:pPr>
        <w:pStyle w:val="Heading2"/>
      </w:pPr>
      <w:r>
        <w:t xml:space="preserve">Получатель платежей (продавец / исполнитель)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Полное наименование</w:t>
            </w:r>
          </w:p>
        </w:tc>
        <w:tc>
          <w:tcPr/>
          <w:p>
            <w:pPr>
              <w:pStyle w:val="Compact"/>
            </w:pPr>
            <w:r>
              <w:t xml:space="preserve">МЕЖРЕГИОНАЛЬНАЯ ОБЩЕСТВЕННАЯ ОРГАНИЗАЦИЯ ТРИХОЛОГОВ И СПЕЦИАЛИСТОВ В ОБЛАСТИ ИССЛЕДОВАНИЯ ВОЛОС «ПРОФЕССИОНАЛЬНОЕ ОБЩЕСТВО ТРИХОЛОГОВ»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Сокращённое наименование</w:t>
            </w:r>
          </w:p>
        </w:tc>
        <w:tc>
          <w:tcPr/>
          <w:p>
            <w:pPr>
              <w:pStyle w:val="Compact"/>
            </w:pPr>
            <w:r>
              <w:t xml:space="preserve">ПРОФЕССИОНАЛЬНОЕ ОБЩЕСТВО ТРИХОЛОГОВ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Наименование на английском</w:t>
            </w:r>
          </w:p>
        </w:tc>
        <w:tc>
          <w:tcPr/>
          <w:p>
            <w:pPr>
              <w:pStyle w:val="Compact"/>
            </w:pPr>
            <w:r>
              <w:t xml:space="preserve">Professional society of trichologists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ИНН</w:t>
            </w:r>
          </w:p>
        </w:tc>
        <w:tc>
          <w:tcPr/>
          <w:p>
            <w:pPr>
              <w:pStyle w:val="Compact"/>
            </w:pPr>
            <w:r>
              <w:t xml:space="preserve">9701268115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КПП</w:t>
            </w:r>
          </w:p>
        </w:tc>
        <w:tc>
          <w:tcPr/>
          <w:p>
            <w:pPr>
              <w:pStyle w:val="Compact"/>
            </w:pPr>
            <w:r>
              <w:t xml:space="preserve">770101001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ОГРН</w:t>
            </w:r>
          </w:p>
        </w:tc>
        <w:tc>
          <w:tcPr/>
          <w:p>
            <w:pPr>
              <w:pStyle w:val="Compact"/>
            </w:pPr>
            <w:r>
              <w:t xml:space="preserve">1237700844325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ОГРНИП</w:t>
            </w:r>
          </w:p>
        </w:tc>
        <w:tc>
          <w:tcPr/>
          <w:p>
            <w:pPr>
              <w:pStyle w:val="Compact"/>
            </w:pPr>
            <w:r>
              <w:t xml:space="preserve">не применяется (организация не является ИП)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Зарегистрирована</w:t>
            </w:r>
          </w:p>
        </w:tc>
        <w:tc>
          <w:tcPr/>
          <w:p>
            <w:pPr>
              <w:pStyle w:val="Compact"/>
            </w:pPr>
            <w:r>
              <w:t xml:space="preserve">01 декабря 2023 года, ИФНС № 1 по г. Москве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ОКПО</w:t>
            </w:r>
          </w:p>
        </w:tc>
        <w:tc>
          <w:tcPr/>
          <w:p>
            <w:pPr>
              <w:pStyle w:val="Compact"/>
            </w:pPr>
            <w:r>
              <w:t xml:space="preserve">98212018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ОКАТО</w:t>
            </w:r>
          </w:p>
        </w:tc>
        <w:tc>
          <w:tcPr/>
          <w:p>
            <w:pPr>
              <w:pStyle w:val="Compact"/>
            </w:pPr>
            <w:r>
              <w:t xml:space="preserve">45286555000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ОКТМО</w:t>
            </w:r>
          </w:p>
        </w:tc>
        <w:tc>
          <w:tcPr/>
          <w:p>
            <w:pPr>
              <w:pStyle w:val="Compact"/>
            </w:pPr>
            <w:r>
              <w:t xml:space="preserve">45375000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ОКВЭД</w:t>
            </w:r>
          </w:p>
        </w:tc>
        <w:tc>
          <w:tcPr/>
          <w:p>
            <w:pPr>
              <w:pStyle w:val="Compact"/>
            </w:pPr>
            <w:r>
              <w:t xml:space="preserve">94.99 Деятельность прочих общественных организаций и некоммерческих организаций, кроме религиозных и политических организаций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Система налогообложения</w:t>
            </w:r>
          </w:p>
        </w:tc>
        <w:tc>
          <w:tcPr/>
          <w:p>
            <w:pPr>
              <w:pStyle w:val="Compact"/>
            </w:pPr>
            <w:r>
              <w:t xml:space="preserve">УСН (НДС не облагается на основании ст. 346.12, 346.13 гл. 26.2 НК РФ)</w:t>
            </w:r>
          </w:p>
        </w:tc>
      </w:tr>
    </w:tbl>
    <w:p>
      <w:pPr>
        <w:pStyle w:val="BodyText"/>
      </w:pPr>
      <w:r>
        <w:rPr>
          <w:i/>
          <w:iCs/>
        </w:rPr>
        <w:t xml:space="preserve">Уставное наименование в иных документах может формулироваться как «Ассоциация трихологов…» — для расчётов используйте наименование, совпадающее с договором с банком и ЕГРЮЛ.</w:t>
      </w:r>
    </w:p>
    <w:p>
      <w:r>
        <w:pict>
          <v:rect style="width:0;height:1.5pt" o:hralign="center" o:hrstd="t" o:hr="t"/>
        </w:pict>
      </w:r>
    </w:p>
    <w:bookmarkEnd w:id="22"/>
    <w:bookmarkStart w:id="23" w:name="адреса"/>
    <w:p>
      <w:pPr>
        <w:pStyle w:val="Heading2"/>
      </w:pPr>
      <w:r>
        <w:t xml:space="preserve">Адреса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Юридический адрес</w:t>
            </w:r>
          </w:p>
        </w:tc>
        <w:tc>
          <w:tcPr/>
          <w:p>
            <w:pPr>
              <w:pStyle w:val="Compact"/>
            </w:pPr>
            <w:r>
              <w:t xml:space="preserve">105082, г. Москва, Спартаковская площадь, д. 14, строение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Фактический (почтовый) адрес</w:t>
            </w:r>
          </w:p>
        </w:tc>
        <w:tc>
          <w:tcPr/>
          <w:p>
            <w:pPr>
              <w:pStyle w:val="Compact"/>
            </w:pPr>
            <w:r>
              <w:t xml:space="preserve">105082, г. Москва, Спартаковская площадь, д. 14, строение 4, офис 4107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Наземные магазины</w:t>
            </w:r>
          </w:p>
        </w:tc>
        <w:tc>
          <w:tcPr/>
          <w:p>
            <w:pPr>
              <w:pStyle w:val="Compact"/>
            </w:pPr>
            <w:r>
              <w:t xml:space="preserve">Розничной сети нет; услуги оформляются через сайт.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связь-с-организацией"/>
    <w:p>
      <w:pPr>
        <w:pStyle w:val="Heading2"/>
      </w:pPr>
      <w:r>
        <w:t xml:space="preserve">Связь с организацией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t xml:space="preserve">8 (495) 545-43-75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E-mail (как в карточке ПСБ)</w:t>
            </w:r>
          </w:p>
        </w:tc>
        <w:tc>
          <w:tcPr/>
          <w:p>
            <w:pPr>
              <w:pStyle w:val="Compact"/>
            </w:pPr>
            <w:r>
              <w:t xml:space="preserve">event@trichologia.ru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E-mail (общие вопросы сайта)</w:t>
            </w:r>
          </w:p>
        </w:tc>
        <w:tc>
          <w:tcPr/>
          <w:p>
            <w:pPr>
              <w:pStyle w:val="Compact"/>
            </w:pPr>
            <w:r>
              <w:t xml:space="preserve">info@trichologia.ru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Режим работы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уточняется — см. страницу «Контакты» на сайте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Сайт</w:t>
            </w:r>
          </w:p>
        </w:tc>
        <w:tc>
          <w:tcPr/>
          <w:p>
            <w:pPr>
              <w:pStyle w:val="Compact"/>
            </w:pPr>
            <w:r>
              <w:t xml:space="preserve">https://trichologia.ru/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5c45cfb28a78e693fb557e52cae23eb09515d16"/>
    <w:p>
      <w:pPr>
        <w:pStyle w:val="Heading2"/>
      </w:pPr>
      <w:r>
        <w:t xml:space="preserve">Реквизиты для безналичной оплаты по счёту</w:t>
      </w:r>
    </w:p>
    <w:p>
      <w:pPr>
        <w:pStyle w:val="FirstParagraph"/>
      </w:pPr>
      <w:r>
        <w:rPr>
          <w:i/>
          <w:iCs/>
        </w:rPr>
        <w:t xml:space="preserve">По карточке ПСБ (актуализировать при смене банка или счёта).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Получатель платежа</w:t>
            </w:r>
          </w:p>
        </w:tc>
        <w:tc>
          <w:tcPr/>
          <w:p>
            <w:pPr>
              <w:pStyle w:val="Compact"/>
            </w:pPr>
            <w:r>
              <w:t xml:space="preserve">МЕЖРЕГИОНАЛЬНАЯ ОБЩЕСТВЕННАЯ ОРГАНИЗАЦИЯ ТРИХОЛОГОВ И СПЕЦИАЛИСТОВ В ОБЛАСТИ ИССЛЕДОВАНИЯ ВОЛОС «ПРОФЕССИОНАЛЬНОЕ ОБЩЕСТВО ТРИХОЛОГОВ»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Юридический адрес</w:t>
            </w:r>
          </w:p>
        </w:tc>
        <w:tc>
          <w:tcPr/>
          <w:p>
            <w:pPr>
              <w:pStyle w:val="Compact"/>
            </w:pPr>
            <w:r>
              <w:t xml:space="preserve">105082, г. Москва, Спартаковская площадь, д. 14, строение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ИНН / КПП</w:t>
            </w:r>
          </w:p>
        </w:tc>
        <w:tc>
          <w:tcPr/>
          <w:p>
            <w:pPr>
              <w:pStyle w:val="Compact"/>
            </w:pPr>
            <w:r>
              <w:t xml:space="preserve">9701268115 / 770101001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ОГРН</w:t>
            </w:r>
          </w:p>
        </w:tc>
        <w:tc>
          <w:tcPr/>
          <w:p>
            <w:pPr>
              <w:pStyle w:val="Compact"/>
            </w:pPr>
            <w:r>
              <w:t xml:space="preserve">1237700844325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Банк</w:t>
            </w:r>
          </w:p>
        </w:tc>
        <w:tc>
          <w:tcPr/>
          <w:p>
            <w:pPr>
              <w:pStyle w:val="Compact"/>
            </w:pPr>
            <w:r>
              <w:t xml:space="preserve">ПАО «Банк ПСБ»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Адрес банка / телефон банка</w:t>
            </w:r>
          </w:p>
        </w:tc>
        <w:tc>
          <w:tcPr/>
          <w:p>
            <w:pPr>
              <w:pStyle w:val="Compact"/>
            </w:pPr>
            <w:r>
              <w:t xml:space="preserve">г. Ярославль, ул. Республиканская, д. 16. Телефон 8 (800) 333-25-50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Расчётный счёт</w:t>
            </w:r>
          </w:p>
        </w:tc>
        <w:tc>
          <w:tcPr/>
          <w:p>
            <w:pPr>
              <w:pStyle w:val="Compact"/>
            </w:pPr>
            <w:r>
              <w:t xml:space="preserve">40703810800000010250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БИК</w:t>
            </w:r>
          </w:p>
        </w:tc>
        <w:tc>
          <w:tcPr/>
          <w:p>
            <w:pPr>
              <w:pStyle w:val="Compact"/>
            </w:pPr>
            <w:r>
              <w:t xml:space="preserve">044525555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Корреспондентский счёт</w:t>
            </w:r>
          </w:p>
        </w:tc>
        <w:tc>
          <w:tcPr/>
          <w:p>
            <w:pPr>
              <w:pStyle w:val="Compact"/>
            </w:pPr>
            <w:r>
              <w:t xml:space="preserve">30101810400000000555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Вопросы по реквизитам и договорам:</w:t>
      </w:r>
      <w:r>
        <w:t xml:space="preserve"> </w:t>
      </w:r>
      <w:r>
        <w:t xml:space="preserve">event@trichologia.ru, тел. 8 (495) 545-43-75 (см. также info@trichologia.ru для общих обращений).</w:t>
      </w:r>
    </w:p>
    <w:p>
      <w:r>
        <w:pict>
          <v:rect style="width:0;height:1.5pt" o:hralign="center" o:hrstd="t" o:hr="t"/>
        </w:pict>
      </w:r>
    </w:p>
    <w:bookmarkEnd w:id="25"/>
    <w:bookmarkStart w:id="29" w:name="справочно"/>
    <w:p>
      <w:pPr>
        <w:pStyle w:val="Heading2"/>
      </w:pPr>
      <w:r>
        <w:t xml:space="preserve">Справочно</w:t>
      </w:r>
    </w:p>
    <w:p>
      <w:pPr>
        <w:pStyle w:val="FirstParagraph"/>
      </w:pPr>
      <w:r>
        <w:t xml:space="preserve">Проверка контрагента:</w:t>
      </w:r>
      <w:r>
        <w:t xml:space="preserve"> </w:t>
      </w:r>
      <w:hyperlink r:id="rId26">
        <w:r>
          <w:rPr>
            <w:rStyle w:val="Hyperlink"/>
          </w:rPr>
          <w:t xml:space="preserve">карточка на Checko</w:t>
        </w:r>
      </w:hyperlink>
      <w:r>
        <w:t xml:space="preserve"> </w:t>
      </w:r>
      <w:r>
        <w:t xml:space="preserve">(не заменяет выписку ЕГРЮЛ).</w:t>
      </w:r>
    </w:p>
    <w:p>
      <w:pPr>
        <w:pStyle w:val="BodyText"/>
      </w:pPr>
      <w:r>
        <w:t xml:space="preserve">Источник банковских и регистрационных данных:</w:t>
      </w:r>
      <w:r>
        <w:t xml:space="preserve"> </w:t>
      </w:r>
      <w:r>
        <w:rPr>
          <w:rStyle w:val="VerbatimChar"/>
        </w:rPr>
        <w:t xml:space="preserve">КАРТОЧКА ПСБ.docx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См. также:</w:t>
      </w:r>
      <w:r>
        <w:t xml:space="preserve"> </w:t>
      </w:r>
      <w:hyperlink r:id="rId27">
        <w:r>
          <w:rPr>
            <w:rStyle w:val="Hyperlink"/>
          </w:rPr>
          <w:t xml:space="preserve">Способы оплаты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Договор-оферта</w:t>
        </w:r>
      </w:hyperlink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dogovor_oferta.md" TargetMode="External" /><Relationship Type="http://schemas.openxmlformats.org/officeDocument/2006/relationships/hyperlink" Id="rId26" Target="https://checko.ru/company/associaciya-professionalnoe-obshchestvo-trihologov-1127799002924" TargetMode="External" /><Relationship Type="http://schemas.openxmlformats.org/officeDocument/2006/relationships/hyperlink" Id="rId21" Target="https://egrul.nalog.ru" TargetMode="External" /><Relationship Type="http://schemas.openxmlformats.org/officeDocument/2006/relationships/hyperlink" Id="rId20" Target="https://trichologia.ru/" TargetMode="External" /><Relationship Type="http://schemas.openxmlformats.org/officeDocument/2006/relationships/hyperlink" Id="rId27" Target="sposoby_opla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govor_oferta.md" TargetMode="External" /><Relationship Type="http://schemas.openxmlformats.org/officeDocument/2006/relationships/hyperlink" Id="rId26" Target="https://checko.ru/company/associaciya-professionalnoe-obshchestvo-trihologov-1127799002924" TargetMode="External" /><Relationship Type="http://schemas.openxmlformats.org/officeDocument/2006/relationships/hyperlink" Id="rId21" Target="https://egrul.nalog.ru" TargetMode="External" /><Relationship Type="http://schemas.openxmlformats.org/officeDocument/2006/relationships/hyperlink" Id="rId20" Target="https://trichologia.ru/" TargetMode="External" /><Relationship Type="http://schemas.openxmlformats.org/officeDocument/2006/relationships/hyperlink" Id="rId27" Target="sposoby_opla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2026-03-27T17:35:34Z</dcterms:created>
  <dcterms:modified xsi:type="dcterms:W3CDTF">2026-03-27T17:35:34Z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