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5a6738e393af13926aca3ac1399c0b240692068"/>
    <w:p>
      <w:pPr>
        <w:pStyle w:val="Heading1"/>
      </w:pPr>
      <w:r>
        <w:t xml:space="preserve">ОБЯЗАТЕЛЬНАЯ ИНФОРМАЦИЯ ДЛЯ РАЗМЕЩЕНИЯ НА САЙТЕ ИЛИ В МОБИЛЬНОМ ПРИЛОЖЕНИИ</w:t>
      </w:r>
    </w:p>
    <w:p>
      <w:pPr>
        <w:pStyle w:val="FirstParagraph"/>
      </w:pPr>
      <w:r>
        <w:t xml:space="preserve">Сайт: https://trichologia.ru/</w:t>
      </w:r>
      <w:r>
        <w:t xml:space="preserve"> </w:t>
      </w:r>
      <w:r>
        <w:t xml:space="preserve">Актуальность сведений: март 2025 г.</w:t>
      </w:r>
    </w:p>
    <w:p>
      <w:pPr>
        <w:pStyle w:val="BodyText"/>
      </w:pPr>
      <w:r>
        <w:t xml:space="preserve">Перед публикацией реквизиты юридического лица следует сверить с выпиской из ЕГРЮЛ</w:t>
      </w:r>
      <w:r>
        <w:t xml:space="preserve"> </w:t>
      </w:r>
      <w:r>
        <w:t xml:space="preserve">(https://egrul.nalog.ru).</w:t>
      </w:r>
    </w:p>
    <w:bookmarkEnd w:id="20"/>
    <w:bookmarkStart w:id="22" w:name="X66a320738142715f2926874f419333fcb486c2d"/>
    <w:p>
      <w:pPr>
        <w:pStyle w:val="Heading1"/>
      </w:pPr>
      <w:r>
        <w:t xml:space="preserve">РАЗДЕЛ 1. СВОДНЫЕ СВЕДЕНИЯ (РЕКВИЗИТЫ И КОНТАКТЫ)</w:t>
      </w:r>
    </w:p>
    <w:bookmarkStart w:id="21" w:name="поле-содержание"/>
    <w:p>
      <w:pPr>
        <w:pStyle w:val="Heading2"/>
      </w:pPr>
      <w:r>
        <w:t xml:space="preserve">Поле Содержание</w:t>
      </w:r>
    </w:p>
    <w:p>
      <w:pPr>
        <w:pStyle w:val="FirstParagraph"/>
      </w:pPr>
      <w:r>
        <w:t xml:space="preserve">Наименование (полное) Ассоциация трихологов и специалистов в области</w:t>
      </w:r>
      <w:r>
        <w:t xml:space="preserve"> </w:t>
      </w:r>
      <w:r>
        <w:t xml:space="preserve">исследования волос «Профессиональное общество трихологов»</w:t>
      </w:r>
    </w:p>
    <w:p>
      <w:pPr>
        <w:pStyle w:val="BodyText"/>
      </w:pPr>
      <w:r>
        <w:t xml:space="preserve">Наименование (сокращённое) Ассоциация «Профессиональное общество трихологов»</w:t>
      </w:r>
    </w:p>
    <w:p>
      <w:pPr>
        <w:pStyle w:val="BodyText"/>
      </w:pPr>
      <w:r>
        <w:t xml:space="preserve">Вид субъекта Юридическое лицо. Индивидуальный предприниматель —</w:t>
      </w:r>
      <w:r>
        <w:t xml:space="preserve"> </w:t>
      </w:r>
      <w:r>
        <w:t xml:space="preserve">нет; ФИО ИП и ОГРНИП не применяются.</w:t>
      </w:r>
    </w:p>
    <w:p>
      <w:pPr>
        <w:pStyle w:val="BodyText"/>
      </w:pPr>
      <w:r>
        <w:t xml:space="preserve">ИНН 9701268115</w:t>
      </w:r>
    </w:p>
    <w:p>
      <w:pPr>
        <w:pStyle w:val="BodyText"/>
      </w:pPr>
      <w:r>
        <w:t xml:space="preserve">ОГРН / ОГРНИП ОГРН юридического лица — по актуальной выписке ЕГРЮЛ</w:t>
      </w:r>
      <w:r>
        <w:t xml:space="preserve"> </w:t>
      </w:r>
      <w:r>
        <w:t xml:space="preserve">(запрос по ИНН на https://egrul.nalog.ru). ОГРНИП: не</w:t>
      </w:r>
      <w:r>
        <w:t xml:space="preserve"> </w:t>
      </w:r>
      <w:r>
        <w:t xml:space="preserve">применяется.</w:t>
      </w:r>
    </w:p>
    <w:p>
      <w:pPr>
        <w:pStyle w:val="BodyText"/>
      </w:pPr>
      <w:r>
        <w:t xml:space="preserve">Адрес регистрации (место 105082, г. Москва, Площадь Спартаковская, д. 14,</w:t>
      </w:r>
      <w:r>
        <w:t xml:space="preserve"> </w:t>
      </w:r>
      <w:r>
        <w:t xml:space="preserve">нахождения) строение 4 — как в контактах на официальном сайте; при</w:t>
      </w:r>
      <w:r>
        <w:t xml:space="preserve"> </w:t>
      </w:r>
      <w:r>
        <w:t xml:space="preserve">расхождении с ЕГРЮЛ указать адрес из выписки.</w:t>
      </w:r>
    </w:p>
    <w:p>
      <w:pPr>
        <w:pStyle w:val="BodyText"/>
      </w:pPr>
      <w:r>
        <w:t xml:space="preserve">Телефон +7 (495) 545-43-75</w:t>
      </w:r>
    </w:p>
    <w:p>
      <w:pPr>
        <w:pStyle w:val="BodyText"/>
      </w:pPr>
      <w:r>
        <w:t xml:space="preserve">Электронная почта info@trichologia.ru</w:t>
      </w:r>
    </w:p>
    <w:p>
      <w:pPr>
        <w:pStyle w:val="BodyText"/>
      </w:pPr>
      <w:r>
        <w:t xml:space="preserve">Справочная проверка реквизитов (не заменяет ЕГРЮЛ):</w:t>
      </w:r>
      <w:r>
        <w:t xml:space="preserve"> </w:t>
      </w:r>
      <w:r>
        <w:t xml:space="preserve">https://checko.ru/company/associaciya-professionalnoe-obshchestvo-trihologov-1127799002924</w:t>
      </w:r>
    </w:p>
    <w:bookmarkEnd w:id="21"/>
    <w:bookmarkEnd w:id="22"/>
    <w:bookmarkStart w:id="23" w:name="Xf636b63a1502111d98ebe4874f0cb59b467e9c8"/>
    <w:p>
      <w:pPr>
        <w:pStyle w:val="Heading1"/>
      </w:pPr>
      <w:r>
        <w:t xml:space="preserve">РАЗДЕЛ 2. ПОРЯДОК ОФОРМЛЕНИЯ И СРОКИ: ЗАКАЗ, ОПЛАТА, ИСПОЛНЕНИЕ, ДОСТАВКА, ВОЗВРАТ</w:t>
      </w:r>
    </w:p>
    <w:p>
      <w:pPr>
        <w:pStyle w:val="FirstParagraph"/>
      </w:pPr>
      <w:r>
        <w:t xml:space="preserve">2.1. Заказ и оформление</w:t>
      </w:r>
    </w:p>
    <w:p>
      <w:pPr>
        <w:pStyle w:val="BodyText"/>
      </w:pPr>
      <w:r>
        <w:t xml:space="preserve">Пользователь после регистрации на сайте в личном кабинете инициирует оплату в пользу</w:t>
      </w:r>
      <w:r>
        <w:t xml:space="preserve"> </w:t>
      </w:r>
      <w:r>
        <w:t xml:space="preserve">Ассоциации: членский и/или вступительный взнос, погашение задолженности по взносам,</w:t>
      </w:r>
      <w:r>
        <w:t xml:space="preserve"> </w:t>
      </w:r>
      <w:r>
        <w:t xml:space="preserve">участие в мероприятии либо иной платёж, если он предусмотрен интерфейсом и офертой.</w:t>
      </w:r>
      <w:r>
        <w:t xml:space="preserve"> </w:t>
      </w:r>
      <w:r>
        <w:t xml:space="preserve">Состав услуги и цена показываются перед переходом к оплате.</w:t>
      </w:r>
    </w:p>
    <w:p>
      <w:pPr>
        <w:pStyle w:val="BodyText"/>
      </w:pPr>
      <w:r>
        <w:t xml:space="preserve">2.2. Оплата</w:t>
      </w:r>
    </w:p>
    <w:p>
      <w:pPr>
        <w:pStyle w:val="BodyText"/>
      </w:pPr>
      <w:r>
        <w:t xml:space="preserve">Пользователь перенаправляется на страницу платёжного провайдера; доступны способы</w:t>
      </w:r>
      <w:r>
        <w:t xml:space="preserve"> </w:t>
      </w:r>
      <w:r>
        <w:t xml:space="preserve">оплаты, которые отображает провайдер (в т.ч. банковская карта). Платёж считается</w:t>
      </w:r>
      <w:r>
        <w:t xml:space="preserve"> </w:t>
      </w:r>
      <w:r>
        <w:t xml:space="preserve">принятым после подтверждения успешной транзакции в платёжной системе.</w:t>
      </w:r>
    </w:p>
    <w:p>
      <w:pPr>
        <w:pStyle w:val="BodyText"/>
      </w:pPr>
      <w:r>
        <w:t xml:space="preserve">Срок на оплату выставленного счёта: до 24 часов с момента создания платежа (если иное</w:t>
      </w:r>
      <w:r>
        <w:t xml:space="preserve"> </w:t>
      </w:r>
      <w:r>
        <w:t xml:space="preserve">не задано настройками); по истечении срока неоплаченный платёж может быть закрыт как</w:t>
      </w:r>
      <w:r>
        <w:t xml:space="preserve"> </w:t>
      </w:r>
      <w:r>
        <w:t xml:space="preserve">неоплаченный, оформление — повторить заново.</w:t>
      </w:r>
    </w:p>
    <w:p>
      <w:pPr>
        <w:pStyle w:val="BodyText"/>
      </w:pPr>
      <w:r>
        <w:t xml:space="preserve">2.3. Исполнение (сроки предоставления результата)</w:t>
      </w:r>
    </w:p>
    <w:p>
      <w:pPr>
        <w:pStyle w:val="BodyText"/>
      </w:pPr>
      <w:r>
        <w:t xml:space="preserve">После успешной оплаты в информационной системе обновляются статусы: членство и права</w:t>
      </w:r>
      <w:r>
        <w:t xml:space="preserve"> </w:t>
      </w:r>
      <w:r>
        <w:t xml:space="preserve">в личном кабинете (в т.ч. документы по регламенту Ассоциации), подтверждение регистрации</w:t>
      </w:r>
      <w:r>
        <w:t xml:space="preserve"> </w:t>
      </w:r>
      <w:r>
        <w:t xml:space="preserve">на мероприятие — в соответствии с типом платежа. Фискальный чек направляется на e-mail</w:t>
      </w:r>
      <w:r>
        <w:t xml:space="preserve"> </w:t>
      </w:r>
      <w:r>
        <w:t xml:space="preserve">плательщика при настройке фискализации и данными, переданными при оплате.</w:t>
      </w:r>
    </w:p>
    <w:p>
      <w:pPr>
        <w:pStyle w:val="BodyText"/>
      </w:pPr>
      <w:r>
        <w:t xml:space="preserve">Сроки технического отражения оплаты в сервисе — обычно краткие; при сбоях обращение —</w:t>
      </w:r>
      <w:r>
        <w:t xml:space="preserve"> </w:t>
      </w:r>
      <w:r>
        <w:t xml:space="preserve">по контактам из раздела 1.</w:t>
      </w:r>
    </w:p>
    <w:p>
      <w:pPr>
        <w:pStyle w:val="BodyText"/>
      </w:pPr>
      <w:r>
        <w:t xml:space="preserve">2.4. Доставка</w:t>
      </w:r>
    </w:p>
    <w:p>
      <w:pPr>
        <w:pStyle w:val="BodyText"/>
      </w:pPr>
      <w:r>
        <w:t xml:space="preserve">По умолчанию услуги носят организационный и цифровой характер (доступ к функциям сайта,</w:t>
      </w:r>
      <w:r>
        <w:t xml:space="preserve"> </w:t>
      </w:r>
      <w:r>
        <w:t xml:space="preserve">статус участия, мероприятия); физическая доставка товара не требуется. Если отдельная</w:t>
      </w:r>
      <w:r>
        <w:t xml:space="preserve"> </w:t>
      </w:r>
      <w:r>
        <w:t xml:space="preserve">позиция предполагает отправление материального носителя, сроки и способ указываются на</w:t>
      </w:r>
      <w:r>
        <w:t xml:space="preserve"> </w:t>
      </w:r>
      <w:r>
        <w:t xml:space="preserve">странице услуги либо согласуются через контакты из раздела 1.</w:t>
      </w:r>
    </w:p>
    <w:p>
      <w:pPr>
        <w:pStyle w:val="BodyText"/>
      </w:pPr>
      <w:r>
        <w:t xml:space="preserve">2.5. Возврат</w:t>
      </w:r>
    </w:p>
    <w:p>
      <w:pPr>
        <w:pStyle w:val="BodyText"/>
      </w:pPr>
      <w:r>
        <w:t xml:space="preserve">Возврат денежных средств — в соответствии с законодательством РФ, уставом и правилами</w:t>
      </w:r>
      <w:r>
        <w:t xml:space="preserve"> </w:t>
      </w:r>
      <w:r>
        <w:t xml:space="preserve">членства / офертой на сайте; подробности — в разделе «Информация о возврате» в подвале</w:t>
      </w:r>
      <w:r>
        <w:t xml:space="preserve"> </w:t>
      </w:r>
      <w:r>
        <w:t xml:space="preserve">https://trichologia.ru/</w:t>
      </w:r>
    </w:p>
    <w:p>
      <w:pPr>
        <w:pStyle w:val="BodyText"/>
      </w:pPr>
      <w:r>
        <w:t xml:space="preserve">Заявление о возврате по основаниям, предусмотренным законом или договором, направляется</w:t>
      </w:r>
      <w:r>
        <w:t xml:space="preserve"> </w:t>
      </w:r>
      <w:r>
        <w:t xml:space="preserve">на электронную почту из раздела 1 с указанием ФИО, даты и суммы платежа, способа оплаты</w:t>
      </w:r>
      <w:r>
        <w:t xml:space="preserve"> </w:t>
      </w:r>
      <w:r>
        <w:t xml:space="preserve">и причины. Срок рассмотрения — разумный после получения сведений; зачисление средств</w:t>
      </w:r>
      <w:r>
        <w:t xml:space="preserve"> </w:t>
      </w:r>
      <w:r>
        <w:t xml:space="preserve">при одобрении — в сроки, которые определяют банк и платёжная система.</w:t>
      </w:r>
    </w:p>
    <w:p>
      <w:pPr>
        <w:pStyle w:val="BodyText"/>
      </w:pPr>
      <w:r>
        <w:t xml:space="preserve">Отдельные платежи (в т.ч. членские взносы НКО) могут иметь ограничения на возврат;</w:t>
      </w:r>
      <w:r>
        <w:t xml:space="preserve"> </w:t>
      </w:r>
      <w:r>
        <w:t xml:space="preserve">условия — в указанном разделе сайта и Положении о членстве.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2026-03-27T17:31:51Z</dcterms:created>
  <dcterms:modified xsi:type="dcterms:W3CDTF">2026-03-27T17:31:51Z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