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способы-оплаты"/>
    <w:p>
      <w:pPr>
        <w:pStyle w:val="Heading1"/>
      </w:pPr>
      <w:r>
        <w:t xml:space="preserve">Способы оплаты</w:t>
      </w:r>
    </w:p>
    <w:p>
      <w:pPr>
        <w:pStyle w:val="FirstParagraph"/>
      </w:pPr>
      <w:r>
        <w:rPr>
          <w:b/>
          <w:bCs/>
        </w:rPr>
        <w:t xml:space="preserve">Сайт:</w:t>
      </w:r>
      <w:r>
        <w:t xml:space="preserve"> </w:t>
      </w:r>
      <w:hyperlink r:id="rId20">
        <w:r>
          <w:rPr>
            <w:rStyle w:val="Hyperlink"/>
          </w:rPr>
          <w:t xml:space="preserve">trichologia.ru</w:t>
        </w:r>
      </w:hyperlink>
      <w:r>
        <w:br/>
      </w:r>
      <w:r>
        <w:rPr>
          <w:b/>
          <w:bCs/>
        </w:rPr>
        <w:t xml:space="preserve">Актуальность:</w:t>
      </w:r>
      <w:r>
        <w:t xml:space="preserve"> </w:t>
      </w:r>
      <w:r>
        <w:t xml:space="preserve">март 2025 г.</w:t>
      </w:r>
    </w:p>
    <w:p>
      <w:r>
        <w:pict>
          <v:rect style="width:0;height:1.5pt" o:hralign="center" o:hrstd="t" o:hr="t"/>
        </w:pict>
      </w:r>
    </w:p>
    <w:bookmarkStart w:id="21" w:name="приём-платежей-через-payanyway"/>
    <w:p>
      <w:pPr>
        <w:pStyle w:val="Heading2"/>
      </w:pPr>
      <w:r>
        <w:t xml:space="preserve">Приём платежей через PayAnyWay</w:t>
      </w:r>
    </w:p>
    <w:p>
      <w:pPr>
        <w:pStyle w:val="FirstParagraph"/>
      </w:pPr>
      <w:r>
        <w:t xml:space="preserve">Онлайн-оплата на сайте обрабатывается платёжным сервисом</w:t>
      </w:r>
      <w:r>
        <w:t xml:space="preserve"> </w:t>
      </w:r>
      <w:r>
        <w:rPr>
          <w:b/>
          <w:bCs/>
        </w:rPr>
        <w:t xml:space="preserve">PayAnyWay</w:t>
      </w:r>
      <w:r>
        <w:t xml:space="preserve"> </w:t>
      </w:r>
      <w:r>
        <w:t xml:space="preserve">(НКО «Монета»). Данные банковских карт Ассоциации не получает: ввод реквизитов карты выполняется на защищённой стороне PayAnyWay.</w:t>
      </w:r>
    </w:p>
    <w:p>
      <w:r>
        <w:pict>
          <v:rect style="width:0;height:1.5pt" o:hralign="center" o:hrstd="t" o:hr="t"/>
        </w:pict>
      </w:r>
    </w:p>
    <w:bookmarkEnd w:id="21"/>
    <w:bookmarkStart w:id="27" w:name="доступные-способы-оплаты"/>
    <w:p>
      <w:pPr>
        <w:pStyle w:val="Heading2"/>
      </w:pPr>
      <w:r>
        <w:t xml:space="preserve">Доступные способы оплаты</w:t>
      </w:r>
    </w:p>
    <w:p>
      <w:pPr>
        <w:pStyle w:val="FirstParagraph"/>
      </w:pPr>
      <w:r>
        <w:t xml:space="preserve">Набор способов зависит от настроек платёжной страницы и может включать:</w:t>
      </w:r>
    </w:p>
    <w:bookmarkStart w:id="22" w:name="банковские-карты"/>
    <w:p>
      <w:pPr>
        <w:pStyle w:val="Heading3"/>
      </w:pPr>
      <w:r>
        <w:t xml:space="preserve">Банковские карты</w:t>
      </w:r>
    </w:p>
    <w:p>
      <w:pPr>
        <w:pStyle w:val="FirstParagraph"/>
      </w:pPr>
      <w:r>
        <w:t xml:space="preserve">Оплата картами платёжных систем</w:t>
      </w:r>
      <w:r>
        <w:t xml:space="preserve"> </w:t>
      </w:r>
      <w:r>
        <w:rPr>
          <w:b/>
          <w:bCs/>
        </w:rPr>
        <w:t xml:space="preserve">МИР</w:t>
      </w:r>
      <w:r>
        <w:t xml:space="preserve">,</w:t>
      </w:r>
      <w:r>
        <w:t xml:space="preserve"> </w:t>
      </w:r>
      <w:r>
        <w:rPr>
          <w:b/>
          <w:bCs/>
        </w:rPr>
        <w:t xml:space="preserve">Visa</w:t>
      </w:r>
      <w:r>
        <w:t xml:space="preserve">,</w:t>
      </w:r>
      <w:r>
        <w:t xml:space="preserve"> </w:t>
      </w:r>
      <w:r>
        <w:rPr>
          <w:b/>
          <w:bCs/>
        </w:rPr>
        <w:t xml:space="preserve">MasterCard</w:t>
      </w:r>
      <w:r>
        <w:t xml:space="preserve">,</w:t>
      </w:r>
      <w:r>
        <w:t xml:space="preserve"> </w:t>
      </w:r>
      <w:r>
        <w:rPr>
          <w:b/>
          <w:bCs/>
        </w:rPr>
        <w:t xml:space="preserve">UnionPay</w:t>
      </w:r>
      <w:r>
        <w:t xml:space="preserve"> </w:t>
      </w:r>
      <w:r>
        <w:t xml:space="preserve">(перечень на экране оплаты актуален на момент платежа).</w:t>
      </w:r>
    </w:p>
    <w:bookmarkEnd w:id="22"/>
    <w:bookmarkStart w:id="23" w:name="сбп-система-быстрых-платежей"/>
    <w:p>
      <w:pPr>
        <w:pStyle w:val="Heading3"/>
      </w:pPr>
      <w:r>
        <w:t xml:space="preserve">СБП (Система быстрых платежей)</w:t>
      </w:r>
    </w:p>
    <w:p>
      <w:pPr>
        <w:pStyle w:val="FirstParagraph"/>
      </w:pPr>
      <w:r>
        <w:t xml:space="preserve">Оплата через СБП без ввода данных карты: по QR-коду, кнопке или с привязанного счёта — в интерфейсе PayAnyWay.</w:t>
      </w:r>
    </w:p>
    <w:bookmarkEnd w:id="23"/>
    <w:bookmarkStart w:id="24" w:name="sberpay-и-иные-pay-сервисы"/>
    <w:p>
      <w:pPr>
        <w:pStyle w:val="Heading3"/>
      </w:pPr>
      <w:r>
        <w:t xml:space="preserve">SberPay и иные pay-сервисы</w:t>
      </w:r>
    </w:p>
    <w:p>
      <w:pPr>
        <w:pStyle w:val="FirstParagraph"/>
      </w:pPr>
      <w:r>
        <w:t xml:space="preserve">При наличии в платёжной форме — оплата через приложение банка (например, SberPay) согласно условиям банка и PayAnyWay.</w:t>
      </w:r>
    </w:p>
    <w:bookmarkEnd w:id="24"/>
    <w:bookmarkStart w:id="25" w:name="наличный-расчёт"/>
    <w:p>
      <w:pPr>
        <w:pStyle w:val="Heading3"/>
      </w:pPr>
      <w:r>
        <w:t xml:space="preserve">Наличный расчёт</w:t>
      </w:r>
    </w:p>
    <w:p>
      <w:pPr>
        <w:pStyle w:val="FirstParagraph"/>
      </w:pPr>
      <w:r>
        <w:t xml:space="preserve">Используется только если для конкретной услуги или товара на сайте явно предусмотрена выдача при личной встрече / курьером / пункте выдачи. При получении проверьте комплектацию, при необходимости — документы и чек. В типовом сценарии (членские взносы, мероприятия, цифровые услуги) расчёт —</w:t>
      </w:r>
      <w:r>
        <w:t xml:space="preserve"> </w:t>
      </w:r>
      <w:r>
        <w:rPr>
          <w:b/>
          <w:bCs/>
        </w:rPr>
        <w:t xml:space="preserve">безналичный</w:t>
      </w:r>
      <w:r>
        <w:t xml:space="preserve">, онлайн.</w:t>
      </w:r>
    </w:p>
    <w:bookmarkEnd w:id="25"/>
    <w:bookmarkStart w:id="26" w:name="X90ffc9a0816d9f88593ddc8cd1b74a1fcb02797"/>
    <w:p>
      <w:pPr>
        <w:pStyle w:val="Heading3"/>
      </w:pPr>
      <w:r>
        <w:t xml:space="preserve">Оплата по счёту (безналичный расчёт для юрлиц и ИП)</w:t>
      </w:r>
    </w:p>
    <w:p>
      <w:pPr>
        <w:pStyle w:val="FirstParagraph"/>
      </w:pPr>
      <w:r>
        <w:t xml:space="preserve">Для организаций и индивидуальных предпринимателей может быть доступна оплата по счёту, выставляемому Ассоциацией. Условия и реквизиты для перечисления согласовываются отдельно. Такой платёж может проходить</w:t>
      </w:r>
      <w:r>
        <w:t xml:space="preserve"> </w:t>
      </w:r>
      <w:r>
        <w:rPr>
          <w:b/>
          <w:bCs/>
        </w:rPr>
        <w:t xml:space="preserve">вне</w:t>
      </w:r>
      <w:r>
        <w:t xml:space="preserve"> </w:t>
      </w:r>
      <w:r>
        <w:t xml:space="preserve">интерфейса PayAnyWay (прямое зачисление на расчётный счёт по реквизитам из счёта). Срок поступления средств на счёт получателя — обычно в пределах нескольких рабочих дней после оплаты со стороны плательщика (зависит от банка).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безопасность-платежей"/>
    <w:p>
      <w:pPr>
        <w:pStyle w:val="Heading2"/>
      </w:pPr>
      <w:r>
        <w:t xml:space="preserve">Безопасность платежей</w:t>
      </w:r>
    </w:p>
    <w:p>
      <w:pPr>
        <w:pStyle w:val="Compact"/>
        <w:numPr>
          <w:ilvl w:val="0"/>
          <w:numId w:val="1001"/>
        </w:numPr>
      </w:pPr>
      <w:r>
        <w:t xml:space="preserve">Страница оплаты работает по протоколу</w:t>
      </w:r>
      <w:r>
        <w:t xml:space="preserve"> </w:t>
      </w:r>
      <w:r>
        <w:rPr>
          <w:b/>
          <w:bCs/>
        </w:rPr>
        <w:t xml:space="preserve">HTTPS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Данные карты</w:t>
      </w:r>
      <w:r>
        <w:t xml:space="preserve"> </w:t>
      </w:r>
      <w:r>
        <w:rPr>
          <w:b/>
          <w:bCs/>
        </w:rPr>
        <w:t xml:space="preserve">не передаются</w:t>
      </w:r>
      <w:r>
        <w:t xml:space="preserve"> </w:t>
      </w:r>
      <w:r>
        <w:t xml:space="preserve">интернет-магазину (Ассоциации) и третьим лицам — обработку выполняет PayAnyWay.</w:t>
      </w:r>
    </w:p>
    <w:p>
      <w:pPr>
        <w:pStyle w:val="Compact"/>
        <w:numPr>
          <w:ilvl w:val="0"/>
          <w:numId w:val="1001"/>
        </w:numPr>
      </w:pPr>
      <w:r>
        <w:t xml:space="preserve">Для карт поддерживается</w:t>
      </w:r>
      <w:r>
        <w:t xml:space="preserve"> </w:t>
      </w:r>
      <w:r>
        <w:rPr>
          <w:b/>
          <w:bCs/>
        </w:rPr>
        <w:t xml:space="preserve">3D Secure</w:t>
      </w:r>
      <w:r>
        <w:t xml:space="preserve"> </w:t>
      </w:r>
      <w:r>
        <w:t xml:space="preserve">(дополнительная аутентификация в банке).</w:t>
      </w:r>
    </w:p>
    <w:p>
      <w:pPr>
        <w:pStyle w:val="FirstParagraph"/>
      </w:pPr>
      <w:r>
        <w:t xml:space="preserve">Подробнее о защите данных — в документации PayAnyWay на официальном сайте сервиса.</w:t>
      </w:r>
    </w:p>
    <w:p>
      <w:r>
        <w:pict>
          <v:rect style="width:0;height:1.5pt" o:hralign="center" o:hrstd="t" o:hr="t"/>
        </w:pict>
      </w:r>
    </w:p>
    <w:bookmarkEnd w:id="28"/>
    <w:bookmarkStart w:id="29" w:name="возврат-средств"/>
    <w:p>
      <w:pPr>
        <w:pStyle w:val="Heading2"/>
      </w:pPr>
      <w:r>
        <w:t xml:space="preserve">Возврат средств</w:t>
      </w:r>
    </w:p>
    <w:p>
      <w:pPr>
        <w:pStyle w:val="FirstParagraph"/>
      </w:pPr>
      <w:r>
        <w:t xml:space="preserve">Если оказана услуга или реализован товар</w:t>
      </w:r>
      <w:r>
        <w:t xml:space="preserve"> </w:t>
      </w:r>
      <w:r>
        <w:rPr>
          <w:b/>
          <w:bCs/>
        </w:rPr>
        <w:t xml:space="preserve">ненадлежащего качества</w:t>
      </w:r>
      <w:r>
        <w:t xml:space="preserve">, возврат денежных средств возможен в порядке, установленном</w:t>
      </w:r>
      <w:r>
        <w:t xml:space="preserve"> </w:t>
      </w:r>
      <w:r>
        <w:rPr>
          <w:b/>
          <w:bCs/>
        </w:rPr>
        <w:t xml:space="preserve">ФЗ «О защите прав потребителей»</w:t>
      </w:r>
      <w:r>
        <w:t xml:space="preserve">, на карту или кошелёк, с которых проводилась оплата (в рамках возможностей платёжной системы).</w:t>
      </w:r>
    </w:p>
    <w:p>
      <w:pPr>
        <w:pStyle w:val="BodyText"/>
      </w:pPr>
      <w:r>
        <w:t xml:space="preserve">Конкретный порядок возврата по операциям через сайт Ассоциации — в разделе</w:t>
      </w:r>
      <w:r>
        <w:t xml:space="preserve"> </w:t>
      </w:r>
      <w:hyperlink r:id="rId20">
        <w:r>
          <w:rPr>
            <w:rStyle w:val="Hyperlink"/>
          </w:rPr>
          <w:t xml:space="preserve">Информация о возврате</w:t>
        </w:r>
      </w:hyperlink>
      <w:r>
        <w:t xml:space="preserve"> </w:t>
      </w:r>
      <w:r>
        <w:t xml:space="preserve">на сайте и по запросу на e-mail Ассоциации (см. страницу «Контактная информация»).</w:t>
      </w:r>
    </w:p>
    <w:p>
      <w:r>
        <w:pict>
          <v:rect style="width:0;height:1.5pt" o:hralign="center" o:hrstd="t" o:hr="t"/>
        </w:pict>
      </w:r>
    </w:p>
    <w:bookmarkEnd w:id="29"/>
    <w:bookmarkStart w:id="32" w:name="вопросы-по-оплате"/>
    <w:p>
      <w:pPr>
        <w:pStyle w:val="Heading2"/>
      </w:pPr>
      <w:r>
        <w:t xml:space="preserve">Вопросы по оплате</w:t>
      </w:r>
    </w:p>
    <w:p>
      <w:pPr>
        <w:pStyle w:val="FirstParagraph"/>
      </w:pPr>
      <w:r>
        <w:rPr>
          <w:b/>
          <w:bCs/>
        </w:rPr>
        <w:t xml:space="preserve">Технические вопросы по прохождению платежа в PayAnyWay</w:t>
      </w:r>
      <w:r>
        <w:t xml:space="preserve"> </w:t>
      </w:r>
      <w:r>
        <w:t xml:space="preserve">(карта не прошла, ошибка на странице оплаты и т.п.):</w:t>
      </w:r>
    </w:p>
    <w:p>
      <w:pPr>
        <w:pStyle w:val="Compact"/>
        <w:numPr>
          <w:ilvl w:val="0"/>
          <w:numId w:val="1002"/>
        </w:numPr>
      </w:pPr>
      <w:r>
        <w:t xml:space="preserve">Телефон поддержки PayAnyWay:</w:t>
      </w:r>
      <w:r>
        <w:t xml:space="preserve"> </w:t>
      </w:r>
      <w:r>
        <w:rPr>
          <w:b/>
          <w:bCs/>
        </w:rPr>
        <w:t xml:space="preserve">+7 (495) 743-49-85</w:t>
      </w:r>
    </w:p>
    <w:p>
      <w:pPr>
        <w:pStyle w:val="Compact"/>
        <w:numPr>
          <w:ilvl w:val="0"/>
          <w:numId w:val="1002"/>
        </w:numPr>
      </w:pPr>
      <w:r>
        <w:t xml:space="preserve">E-mail:</w:t>
      </w:r>
      <w:r>
        <w:t xml:space="preserve"> </w:t>
      </w:r>
      <w:r>
        <w:rPr>
          <w:b/>
          <w:bCs/>
        </w:rPr>
        <w:t xml:space="preserve">help@payanyway.ru</w:t>
      </w:r>
    </w:p>
    <w:p>
      <w:pPr>
        <w:pStyle w:val="FirstParagraph"/>
      </w:pPr>
      <w:r>
        <w:rPr>
          <w:b/>
          <w:bCs/>
        </w:rPr>
        <w:t xml:space="preserve">Вопросы по сути заказа, членству, мероприятиям, возврату по правилам Ассоциации</w:t>
      </w:r>
      <w:r>
        <w:t xml:space="preserve"> </w:t>
      </w:r>
      <w:r>
        <w:t xml:space="preserve">— через контакты, указанные в разделе «Контактная информация» на сайте</w:t>
      </w:r>
      <w:r>
        <w:t xml:space="preserve"> </w:t>
      </w:r>
      <w:hyperlink r:id="rId20">
        <w:r>
          <w:rPr>
            <w:rStyle w:val="Hyperlink"/>
          </w:rPr>
          <w:t xml:space="preserve">trichologia.ru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Текст носит информационный характер. Названия продуктов и доступность способов оплаты на платёжной форме могут обновляться PayAnyWay.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См. также:</w:t>
      </w:r>
      <w:r>
        <w:t xml:space="preserve"> </w:t>
      </w:r>
      <w:hyperlink r:id="rId30">
        <w:r>
          <w:rPr>
            <w:rStyle w:val="Hyperlink"/>
          </w:rPr>
          <w:t xml:space="preserve">Контактная информация</w:t>
        </w:r>
      </w:hyperlink>
      <w:r>
        <w:t xml:space="preserve"> </w:t>
      </w:r>
      <w:r>
        <w:t xml:space="preserve">·</w:t>
      </w:r>
      <w:r>
        <w:t xml:space="preserve"> </w:t>
      </w:r>
      <w:hyperlink r:id="rId31">
        <w:r>
          <w:rPr>
            <w:rStyle w:val="Hyperlink"/>
          </w:rPr>
          <w:t xml:space="preserve">Договор-оферта</w:t>
        </w:r>
      </w:hyperlink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dogovor_oferta.md" TargetMode="External" /><Relationship Type="http://schemas.openxmlformats.org/officeDocument/2006/relationships/hyperlink" Id="rId20" Target="https://trichologia.ru/" TargetMode="External" /><Relationship Type="http://schemas.openxmlformats.org/officeDocument/2006/relationships/hyperlink" Id="rId30" Target="kontaktnaya_informaciy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ogovor_oferta.md" TargetMode="External" /><Relationship Type="http://schemas.openxmlformats.org/officeDocument/2006/relationships/hyperlink" Id="rId20" Target="https://trichologia.ru/" TargetMode="External" /><Relationship Type="http://schemas.openxmlformats.org/officeDocument/2006/relationships/hyperlink" Id="rId30" Target="kontaktnaya_informaciy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2026-03-27T17:31:51Z</dcterms:created>
  <dcterms:modified xsi:type="dcterms:W3CDTF">2026-03-27T17:31:51Z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