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88" w:lineRule="auto"/>
        <w:jc w:val="right"/>
        <w:bidi w:val="1"/>
      </w:pPr>
      <w:r>
        <w:rPr>
          <w:rFonts w:ascii="Arial" w:hAnsi="Arial" w:cs="Arial"/>
          <w:b/>
          <w:color w:val="0B2545"/>
          <w:sz w:val="52"/>
          <w:rtl w:val="1"/>
        </w:rPr>
        <w:t>نظام CPOS</w:t>
      </w:r>
    </w:p>
    <w:p>
      <w:pPr>
        <w:spacing w:before="0" w:after="280" w:line="288" w:lineRule="auto"/>
        <w:jc w:val="right"/>
        <w:bidi w:val="1"/>
      </w:pPr>
      <w:r>
        <w:rPr>
          <w:rFonts w:ascii="Arial" w:hAnsi="Arial" w:cs="Arial"/>
          <w:b/>
          <w:color w:val="2E74B5"/>
          <w:sz w:val="32"/>
          <w:rtl w:val="1"/>
        </w:rPr>
        <w:t>حل متكامل لإدارة المبيعات والمخزون والحسابات</w:t>
      </w:r>
    </w:p>
    <w:p>
      <w:pPr>
        <w:spacing w:before="0" w:after="360" w:line="288" w:lineRule="auto"/>
        <w:jc w:val="right"/>
        <w:bidi w:val="1"/>
      </w:pPr>
      <w:r>
        <w:rPr>
          <w:rFonts w:ascii="Arial" w:hAnsi="Arial" w:cs="Arial"/>
          <w:b w:val="0"/>
          <w:color w:val="555555"/>
          <w:sz w:val="24"/>
          <w:rtl w:val="1"/>
        </w:rPr>
        <w:t>عرض موجّه للعميل يوضح مزايا النظام وفوائده العملية في إدارة النشاط اليومي</w:t>
      </w:r>
    </w:p>
    <w:tbl>
      <w:tblPr>
        <w:tblW w:type="dxa" w:w="9360"/>
        <w:jc w:val="right"/>
        <w:tblLook w:firstColumn="1" w:firstRow="1" w:lastColumn="0" w:lastRow="0" w:noHBand="0" w:noVBand="1" w:val="04A0"/>
        <w:tblInd w:w="120" w:type="dxa"/>
        <w:tblLayout w:type="fixed"/>
      </w:tblPr>
      <w:tblGrid>
        <w:gridCol w:w="9360"/>
      </w:tblGrid>
      <w:tr>
        <w:tc>
          <w:tcPr>
            <w:tcW w:type="dxa" w:w="9360"/>
            <w:vAlign w:val="center"/>
            <w:tcMar>
              <w:top w:w="100" w:type="dxa"/>
              <w:start w:w="140" w:type="dxa"/>
              <w:bottom w:w="100" w:type="dxa"/>
              <w:end w:w="140" w:type="dxa"/>
            </w:tcMar>
            <w:shd w:fill="EAF4EF"/>
          </w:tcPr>
          <w:p>
            <w:pPr>
              <w:spacing w:after="0"/>
              <w:jc w:val="right"/>
              <w:bidi w:val="1"/>
            </w:pPr>
            <w:r>
              <w:rPr>
                <w:rFonts w:ascii="Arial" w:hAnsi="Arial" w:cs="Arial"/>
                <w:b/>
                <w:color w:val="0B2545"/>
                <w:sz w:val="25"/>
                <w:rtl w:val="1"/>
              </w:rPr>
              <w:t>لماذا هذا النظام؟</w:t>
            </w:r>
            <w:r>
              <w:rPr>
                <w:rtl w:val="1"/>
              </w:rPr>
              <w:br/>
            </w:r>
            <w:r>
              <w:rPr>
                <w:rFonts w:ascii="Arial" w:hAnsi="Arial" w:cs="Arial"/>
                <w:b w:val="0"/>
                <w:color w:val="000000"/>
                <w:sz w:val="21"/>
                <w:rtl w:val="1"/>
              </w:rPr>
              <w:t>لأن صاحب النشاط يحتاج أن يعرف مبيعاته ومخزونه وحساباته من مكان واحد، بسرعة ووضوح، مع تقليل الأخطاء اليدوية وتحسين الرقابة على الموظفين والفواتير والحركة المالية.</w:t>
            </w:r>
          </w:p>
        </w:tc>
      </w:tr>
    </w:tbl>
    <w:p/>
    <w:tbl>
      <w:tblPr>
        <w:tblW w:type="dxa" w:w="9360"/>
        <w:jc w:val="right"/>
        <w:tblLook w:firstColumn="1" w:firstRow="1" w:lastColumn="0" w:lastRow="0" w:noHBand="0" w:noVBand="1" w:val="04A0"/>
        <w:tblInd w:w="120" w:type="dxa"/>
        <w:tblLayout w:type="fixed"/>
      </w:tblPr>
      <w:tblGrid>
        <w:gridCol w:w="2800"/>
        <w:gridCol w:w="3560"/>
        <w:gridCol w:w="3000"/>
      </w:tblGrid>
      <w:tr>
        <w:tc>
          <w:tcPr>
            <w:tcW w:type="dxa" w:w="280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مناسب لـ</w:t>
            </w:r>
          </w:p>
        </w:tc>
        <w:tc>
          <w:tcPr>
            <w:tcW w:type="dxa" w:w="356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يخدم</w:t>
            </w:r>
          </w:p>
        </w:tc>
        <w:tc>
          <w:tcPr>
            <w:tcW w:type="dxa" w:w="300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النتيجة المتوقعة</w:t>
            </w:r>
          </w:p>
        </w:tc>
      </w:tr>
      <w:tr>
        <w:tc>
          <w:tcPr>
            <w:tcW w:type="dxa" w:w="2800"/>
          </w:tcPr>
          <w:p>
            <w:pPr>
              <w:jc w:val="right"/>
              <w:bidi w:val="1"/>
            </w:pPr>
            <w:r>
              <w:rPr>
                <w:rFonts w:ascii="Arial" w:hAnsi="Arial" w:cs="Arial"/>
                <w:b w:val="0"/>
                <w:color w:val="000000"/>
                <w:sz w:val="19"/>
                <w:rtl w:val="1"/>
              </w:rPr>
              <w:t>المطاعم والمتاجر ونقاط البيع</w:t>
            </w:r>
          </w:p>
        </w:tc>
        <w:tc>
          <w:tcPr>
            <w:tcW w:type="dxa" w:w="3560"/>
          </w:tcPr>
          <w:p>
            <w:pPr>
              <w:jc w:val="right"/>
              <w:bidi w:val="1"/>
            </w:pPr>
            <w:r>
              <w:rPr>
                <w:rFonts w:ascii="Arial" w:hAnsi="Arial" w:cs="Arial"/>
                <w:b w:val="0"/>
                <w:color w:val="000000"/>
                <w:sz w:val="19"/>
                <w:rtl w:val="1"/>
              </w:rPr>
              <w:t>المبيعات، المشتريات، المخازن، الحسابات، التقارير</w:t>
            </w:r>
          </w:p>
        </w:tc>
        <w:tc>
          <w:tcPr>
            <w:tcW w:type="dxa" w:w="3000"/>
          </w:tcPr>
          <w:p>
            <w:pPr>
              <w:jc w:val="right"/>
              <w:bidi w:val="1"/>
            </w:pPr>
            <w:r>
              <w:rPr>
                <w:rFonts w:ascii="Arial" w:hAnsi="Arial" w:cs="Arial"/>
                <w:b w:val="0"/>
                <w:color w:val="000000"/>
                <w:sz w:val="19"/>
                <w:rtl w:val="1"/>
              </w:rPr>
              <w:t>تشغيل أسهل، متابعة أدق، وقرارات أسرع</w:t>
            </w:r>
          </w:p>
        </w:tc>
      </w:tr>
    </w:tbl>
    <w:p/>
    <w:p>
      <w:r>
        <w:br w:type="page"/>
      </w:r>
    </w:p>
    <w:p>
      <w:pPr>
        <w:pStyle w:val="Heading1"/>
        <w:spacing w:before="320" w:after="140"/>
        <w:jc w:val="right"/>
        <w:bidi w:val="1"/>
      </w:pPr>
      <w:r>
        <w:rPr>
          <w:rFonts w:ascii="Arial" w:hAnsi="Arial" w:cs="Arial"/>
          <w:b/>
          <w:color w:val="2E74B5"/>
          <w:sz w:val="34"/>
          <w:rtl w:val="1"/>
        </w:rPr>
        <w:t>1. فكرة النظام باختصار</w:t>
      </w:r>
    </w:p>
    <w:p>
      <w:pPr>
        <w:spacing w:before="0" w:after="140" w:line="288" w:lineRule="auto"/>
        <w:jc w:val="right"/>
        <w:bidi w:val="1"/>
      </w:pPr>
      <w:r>
        <w:rPr>
          <w:rFonts w:ascii="Arial" w:hAnsi="Arial" w:cs="Arial"/>
          <w:b w:val="0"/>
          <w:color w:val="000000"/>
          <w:sz w:val="22"/>
          <w:rtl w:val="1"/>
        </w:rPr>
        <w:t>CPOS هو نظام يساعد المنشأة على إدارة البيع والشراء والمخزون والحسابات اليومية من شاشة عمل واحدة. بدلاً من متابعة الفواتير والمخزون والخزينة والحسابات في أماكن متفرقة، يجمع النظام هذه العمليات في مسار واضح ومترابط.</w:t>
      </w:r>
    </w:p>
    <w:p>
      <w:pPr>
        <w:pStyle w:val="ListBullet"/>
        <w:spacing w:after="80" w:line="276" w:lineRule="auto"/>
        <w:jc w:val="right"/>
        <w:bidi w:val="1"/>
      </w:pPr>
      <w:r>
        <w:rPr>
          <w:rFonts w:ascii="Arial" w:hAnsi="Arial" w:cs="Arial"/>
          <w:b w:val="0"/>
          <w:color w:val="000000"/>
          <w:sz w:val="21"/>
          <w:rtl w:val="1"/>
        </w:rPr>
        <w:t>إصدار فواتير المبيعات والمشتريات والإرجاعات بسرعة.</w:t>
      </w:r>
    </w:p>
    <w:p>
      <w:pPr>
        <w:pStyle w:val="ListBullet"/>
        <w:spacing w:after="80" w:line="276" w:lineRule="auto"/>
        <w:jc w:val="right"/>
        <w:bidi w:val="1"/>
      </w:pPr>
      <w:r>
        <w:rPr>
          <w:rFonts w:ascii="Arial" w:hAnsi="Arial" w:cs="Arial"/>
          <w:b w:val="0"/>
          <w:color w:val="000000"/>
          <w:sz w:val="21"/>
          <w:rtl w:val="1"/>
        </w:rPr>
        <w:t>متابعة المخزون، الجرد، التالف، والتحويل بين المخازن.</w:t>
      </w:r>
    </w:p>
    <w:p>
      <w:pPr>
        <w:pStyle w:val="ListBullet"/>
        <w:spacing w:after="80" w:line="276" w:lineRule="auto"/>
        <w:jc w:val="right"/>
        <w:bidi w:val="1"/>
      </w:pPr>
      <w:r>
        <w:rPr>
          <w:rFonts w:ascii="Arial" w:hAnsi="Arial" w:cs="Arial"/>
          <w:b w:val="0"/>
          <w:color w:val="000000"/>
          <w:sz w:val="21"/>
          <w:rtl w:val="1"/>
        </w:rPr>
        <w:t>متابعة العملاء والموردين والخزينة والحسابات.</w:t>
      </w:r>
    </w:p>
    <w:p>
      <w:pPr>
        <w:pStyle w:val="ListBullet"/>
        <w:spacing w:after="80" w:line="276" w:lineRule="auto"/>
        <w:jc w:val="right"/>
        <w:bidi w:val="1"/>
      </w:pPr>
      <w:r>
        <w:rPr>
          <w:rFonts w:ascii="Arial" w:hAnsi="Arial" w:cs="Arial"/>
          <w:b w:val="0"/>
          <w:color w:val="000000"/>
          <w:sz w:val="21"/>
          <w:rtl w:val="1"/>
        </w:rPr>
        <w:t>ربط حركة البيع والشراء بالدليل الحسابي والقيود والتقارير المالية.</w:t>
      </w:r>
    </w:p>
    <w:p>
      <w:pPr>
        <w:pStyle w:val="ListBullet"/>
        <w:spacing w:after="80" w:line="276" w:lineRule="auto"/>
        <w:jc w:val="right"/>
        <w:bidi w:val="1"/>
      </w:pPr>
      <w:r>
        <w:rPr>
          <w:rFonts w:ascii="Arial" w:hAnsi="Arial" w:cs="Arial"/>
          <w:b w:val="0"/>
          <w:color w:val="000000"/>
          <w:sz w:val="21"/>
          <w:rtl w:val="1"/>
        </w:rPr>
        <w:t>صلاحيات لكل مستخدم حسب دوره داخل المنشأة.</w:t>
      </w:r>
    </w:p>
    <w:p>
      <w:pPr>
        <w:pStyle w:val="Heading1"/>
        <w:spacing w:before="320" w:after="140"/>
        <w:jc w:val="right"/>
        <w:bidi w:val="1"/>
      </w:pPr>
      <w:r>
        <w:rPr>
          <w:rFonts w:ascii="Arial" w:hAnsi="Arial" w:cs="Arial"/>
          <w:b/>
          <w:color w:val="2E74B5"/>
          <w:sz w:val="34"/>
          <w:rtl w:val="1"/>
        </w:rPr>
        <w:t>2. ما الذي سيستفيد منه العميل؟</w:t>
      </w:r>
    </w:p>
    <w:tbl>
      <w:tblPr>
        <w:tblW w:type="dxa" w:w="9360"/>
        <w:jc w:val="right"/>
        <w:tblLook w:firstColumn="1" w:firstRow="1" w:lastColumn="0" w:lastRow="0" w:noHBand="0" w:noVBand="1" w:val="04A0"/>
        <w:tblInd w:w="120" w:type="dxa"/>
        <w:tblLayout w:type="fixed"/>
      </w:tblPr>
      <w:tblGrid>
        <w:gridCol w:w="2500"/>
        <w:gridCol w:w="6860"/>
      </w:tblGrid>
      <w:tr>
        <w:tc>
          <w:tcPr>
            <w:tcW w:type="dxa" w:w="250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الفائدة</w:t>
            </w:r>
          </w:p>
        </w:tc>
        <w:tc>
          <w:tcPr>
            <w:tcW w:type="dxa" w:w="686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كيف تظهر في العمل اليومي</w:t>
            </w:r>
          </w:p>
        </w:tc>
      </w:tr>
      <w:tr>
        <w:tc>
          <w:tcPr>
            <w:tcW w:type="dxa" w:w="2500"/>
          </w:tcPr>
          <w:p>
            <w:pPr>
              <w:jc w:val="right"/>
              <w:bidi w:val="1"/>
            </w:pPr>
            <w:r>
              <w:rPr>
                <w:rFonts w:ascii="Arial" w:hAnsi="Arial" w:cs="Arial"/>
                <w:b w:val="0"/>
                <w:color w:val="000000"/>
                <w:sz w:val="19"/>
                <w:rtl w:val="1"/>
              </w:rPr>
              <w:t>تحكم أوضح في المبيعات</w:t>
            </w:r>
          </w:p>
        </w:tc>
        <w:tc>
          <w:tcPr>
            <w:tcW w:type="dxa" w:w="6860"/>
          </w:tcPr>
          <w:p>
            <w:pPr>
              <w:jc w:val="right"/>
              <w:bidi w:val="1"/>
            </w:pPr>
            <w:r>
              <w:rPr>
                <w:rFonts w:ascii="Arial" w:hAnsi="Arial" w:cs="Arial"/>
                <w:b w:val="0"/>
                <w:color w:val="000000"/>
                <w:sz w:val="19"/>
                <w:rtl w:val="1"/>
              </w:rPr>
              <w:t>معرفة الفواتير، الورديات، الإيصالات، والإرجاعات من النظام بدل الاعتماد على المتابعة اليدوية.</w:t>
            </w:r>
          </w:p>
        </w:tc>
      </w:tr>
      <w:tr>
        <w:tc>
          <w:tcPr>
            <w:tcW w:type="dxa" w:w="2500"/>
          </w:tcPr>
          <w:p>
            <w:pPr>
              <w:jc w:val="right"/>
              <w:bidi w:val="1"/>
            </w:pPr>
            <w:r>
              <w:rPr>
                <w:rFonts w:ascii="Arial" w:hAnsi="Arial" w:cs="Arial"/>
                <w:b w:val="0"/>
                <w:color w:val="000000"/>
                <w:sz w:val="19"/>
                <w:rtl w:val="1"/>
              </w:rPr>
              <w:t>مخزون تحت السيطرة</w:t>
            </w:r>
          </w:p>
        </w:tc>
        <w:tc>
          <w:tcPr>
            <w:tcW w:type="dxa" w:w="6860"/>
          </w:tcPr>
          <w:p>
            <w:pPr>
              <w:jc w:val="right"/>
              <w:bidi w:val="1"/>
            </w:pPr>
            <w:r>
              <w:rPr>
                <w:rFonts w:ascii="Arial" w:hAnsi="Arial" w:cs="Arial"/>
                <w:b w:val="0"/>
                <w:color w:val="000000"/>
                <w:sz w:val="19"/>
                <w:rtl w:val="1"/>
              </w:rPr>
              <w:t>متابعة الكميات، الأصناف المنتهية أو القريبة من الانتهاء، والتحويلات بين المخازن.</w:t>
            </w:r>
          </w:p>
        </w:tc>
      </w:tr>
      <w:tr>
        <w:tc>
          <w:tcPr>
            <w:tcW w:type="dxa" w:w="2500"/>
          </w:tcPr>
          <w:p>
            <w:pPr>
              <w:jc w:val="right"/>
              <w:bidi w:val="1"/>
            </w:pPr>
            <w:r>
              <w:rPr>
                <w:rFonts w:ascii="Arial" w:hAnsi="Arial" w:cs="Arial"/>
                <w:b w:val="0"/>
                <w:color w:val="000000"/>
                <w:sz w:val="19"/>
                <w:rtl w:val="1"/>
              </w:rPr>
              <w:t>محاسبة مرتبطة بالتشغيل</w:t>
            </w:r>
          </w:p>
        </w:tc>
        <w:tc>
          <w:tcPr>
            <w:tcW w:type="dxa" w:w="6860"/>
          </w:tcPr>
          <w:p>
            <w:pPr>
              <w:jc w:val="right"/>
              <w:bidi w:val="1"/>
            </w:pPr>
            <w:r>
              <w:rPr>
                <w:rFonts w:ascii="Arial" w:hAnsi="Arial" w:cs="Arial"/>
                <w:b w:val="0"/>
                <w:color w:val="000000"/>
                <w:sz w:val="19"/>
                <w:rtl w:val="1"/>
              </w:rPr>
              <w:t>تعريف الحسابات في الدليل الحسابي وربطها بالمبيعات والمشتريات والخزينة والمصروفات.</w:t>
            </w:r>
          </w:p>
        </w:tc>
      </w:tr>
      <w:tr>
        <w:tc>
          <w:tcPr>
            <w:tcW w:type="dxa" w:w="2500"/>
          </w:tcPr>
          <w:p>
            <w:pPr>
              <w:jc w:val="right"/>
              <w:bidi w:val="1"/>
            </w:pPr>
            <w:r>
              <w:rPr>
                <w:rFonts w:ascii="Arial" w:hAnsi="Arial" w:cs="Arial"/>
                <w:b w:val="0"/>
                <w:color w:val="000000"/>
                <w:sz w:val="19"/>
                <w:rtl w:val="1"/>
              </w:rPr>
              <w:t>تقليل الأخطاء</w:t>
            </w:r>
          </w:p>
        </w:tc>
        <w:tc>
          <w:tcPr>
            <w:tcW w:type="dxa" w:w="6860"/>
          </w:tcPr>
          <w:p>
            <w:pPr>
              <w:jc w:val="right"/>
              <w:bidi w:val="1"/>
            </w:pPr>
            <w:r>
              <w:rPr>
                <w:rFonts w:ascii="Arial" w:hAnsi="Arial" w:cs="Arial"/>
                <w:b w:val="0"/>
                <w:color w:val="000000"/>
                <w:sz w:val="19"/>
                <w:rtl w:val="1"/>
              </w:rPr>
              <w:t>كل عملية بيع أو شراء أو إرجاع ترتبط بالحساب والمخزون، مما يقلل الإدخال المتكرر والخطأ البشري.</w:t>
            </w:r>
          </w:p>
        </w:tc>
      </w:tr>
      <w:tr>
        <w:tc>
          <w:tcPr>
            <w:tcW w:type="dxa" w:w="2500"/>
          </w:tcPr>
          <w:p>
            <w:pPr>
              <w:jc w:val="right"/>
              <w:bidi w:val="1"/>
            </w:pPr>
            <w:r>
              <w:rPr>
                <w:rFonts w:ascii="Arial" w:hAnsi="Arial" w:cs="Arial"/>
                <w:b w:val="0"/>
                <w:color w:val="000000"/>
                <w:sz w:val="19"/>
                <w:rtl w:val="1"/>
              </w:rPr>
              <w:t>رقابة على الموظفين</w:t>
            </w:r>
          </w:p>
        </w:tc>
        <w:tc>
          <w:tcPr>
            <w:tcW w:type="dxa" w:w="6860"/>
          </w:tcPr>
          <w:p>
            <w:pPr>
              <w:jc w:val="right"/>
              <w:bidi w:val="1"/>
            </w:pPr>
            <w:r>
              <w:rPr>
                <w:rFonts w:ascii="Arial" w:hAnsi="Arial" w:cs="Arial"/>
                <w:b w:val="0"/>
                <w:color w:val="000000"/>
                <w:sz w:val="19"/>
                <w:rtl w:val="1"/>
              </w:rPr>
              <w:t>كل مستخدم يعمل حسب صلاحياته، مع إمكانية منع الخصومات أو الإلغاء أو عرض التكلفة حسب الحاجة.</w:t>
            </w:r>
          </w:p>
        </w:tc>
      </w:tr>
      <w:tr>
        <w:tc>
          <w:tcPr>
            <w:tcW w:type="dxa" w:w="2500"/>
          </w:tcPr>
          <w:p>
            <w:pPr>
              <w:jc w:val="right"/>
              <w:bidi w:val="1"/>
            </w:pPr>
            <w:r>
              <w:rPr>
                <w:rFonts w:ascii="Arial" w:hAnsi="Arial" w:cs="Arial"/>
                <w:b w:val="0"/>
                <w:color w:val="000000"/>
                <w:sz w:val="19"/>
                <w:rtl w:val="1"/>
              </w:rPr>
              <w:t>قرارات أسرع</w:t>
            </w:r>
          </w:p>
        </w:tc>
        <w:tc>
          <w:tcPr>
            <w:tcW w:type="dxa" w:w="6860"/>
          </w:tcPr>
          <w:p>
            <w:pPr>
              <w:jc w:val="right"/>
              <w:bidi w:val="1"/>
            </w:pPr>
            <w:r>
              <w:rPr>
                <w:rFonts w:ascii="Arial" w:hAnsi="Arial" w:cs="Arial"/>
                <w:b w:val="0"/>
                <w:color w:val="000000"/>
                <w:sz w:val="19"/>
                <w:rtl w:val="1"/>
              </w:rPr>
              <w:t>التقارير والتنبيهات تعطي الإدارة صورة أوضح عن المبيعات، الديون، المخزون، والحركة اليومية.</w:t>
            </w:r>
          </w:p>
        </w:tc>
      </w:tr>
    </w:tbl>
    <w:p/>
    <w:p>
      <w:pPr>
        <w:pStyle w:val="Heading1"/>
        <w:spacing w:before="320" w:after="140"/>
        <w:jc w:val="right"/>
        <w:bidi w:val="1"/>
      </w:pPr>
      <w:r>
        <w:rPr>
          <w:rFonts w:ascii="Arial" w:hAnsi="Arial" w:cs="Arial"/>
          <w:b/>
          <w:color w:val="2E74B5"/>
          <w:sz w:val="34"/>
          <w:rtl w:val="1"/>
        </w:rPr>
        <w:t>3. المزايا الرئيسية حسب القسم</w:t>
      </w:r>
    </w:p>
    <w:tbl>
      <w:tblPr>
        <w:tblW w:type="dxa" w:w="9360"/>
        <w:jc w:val="right"/>
        <w:tblLook w:firstColumn="1" w:firstRow="1" w:lastColumn="0" w:lastRow="0" w:noHBand="0" w:noVBand="1" w:val="04A0"/>
        <w:tblInd w:w="120" w:type="dxa"/>
        <w:tblLayout w:type="fixed"/>
      </w:tblPr>
      <w:tblGrid>
        <w:gridCol w:w="2500"/>
        <w:gridCol w:w="6860"/>
      </w:tblGrid>
      <w:tr>
        <w:tc>
          <w:tcPr>
            <w:tcW w:type="dxa" w:w="250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القسم</w:t>
            </w:r>
          </w:p>
        </w:tc>
        <w:tc>
          <w:tcPr>
            <w:tcW w:type="dxa" w:w="686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أهم ما يقدمه</w:t>
            </w:r>
          </w:p>
        </w:tc>
      </w:tr>
      <w:tr>
        <w:tc>
          <w:tcPr>
            <w:tcW w:type="dxa" w:w="2500"/>
          </w:tcPr>
          <w:p>
            <w:pPr>
              <w:jc w:val="right"/>
              <w:bidi w:val="1"/>
            </w:pPr>
            <w:r>
              <w:rPr>
                <w:rFonts w:ascii="Arial" w:hAnsi="Arial" w:cs="Arial"/>
                <w:b w:val="0"/>
                <w:color w:val="000000"/>
                <w:sz w:val="19"/>
                <w:rtl w:val="1"/>
              </w:rPr>
              <w:t>المبيعات ونقطة البيع</w:t>
            </w:r>
          </w:p>
        </w:tc>
        <w:tc>
          <w:tcPr>
            <w:tcW w:type="dxa" w:w="6860"/>
          </w:tcPr>
          <w:p>
            <w:pPr>
              <w:jc w:val="right"/>
              <w:bidi w:val="1"/>
            </w:pPr>
            <w:r>
              <w:rPr>
                <w:rFonts w:ascii="Arial" w:hAnsi="Arial" w:cs="Arial"/>
                <w:b w:val="0"/>
                <w:color w:val="000000"/>
                <w:sz w:val="19"/>
                <w:rtl w:val="1"/>
              </w:rPr>
              <w:t>فواتير مبيعات، إيصالات قبض، إرجاع مبيعات، عروض أسعار، طلبيات داخلية وخارجية، ومتابعة الفواتير المتعارضة.</w:t>
            </w:r>
          </w:p>
        </w:tc>
      </w:tr>
      <w:tr>
        <w:tc>
          <w:tcPr>
            <w:tcW w:type="dxa" w:w="2500"/>
          </w:tcPr>
          <w:p>
            <w:pPr>
              <w:jc w:val="right"/>
              <w:bidi w:val="1"/>
            </w:pPr>
            <w:r>
              <w:rPr>
                <w:rFonts w:ascii="Arial" w:hAnsi="Arial" w:cs="Arial"/>
                <w:b w:val="0"/>
                <w:color w:val="000000"/>
                <w:sz w:val="19"/>
                <w:rtl w:val="1"/>
              </w:rPr>
              <w:t>المشتريات والموردون</w:t>
            </w:r>
          </w:p>
        </w:tc>
        <w:tc>
          <w:tcPr>
            <w:tcW w:type="dxa" w:w="6860"/>
          </w:tcPr>
          <w:p>
            <w:pPr>
              <w:jc w:val="right"/>
              <w:bidi w:val="1"/>
            </w:pPr>
            <w:r>
              <w:rPr>
                <w:rFonts w:ascii="Arial" w:hAnsi="Arial" w:cs="Arial"/>
                <w:b w:val="0"/>
                <w:color w:val="000000"/>
                <w:sz w:val="19"/>
                <w:rtl w:val="1"/>
              </w:rPr>
              <w:t>فواتير مشتريات، إرجاع مشتريات، إيصالات صرف، عرض فواتير المورد، والطلبيات القادمة.</w:t>
            </w:r>
          </w:p>
        </w:tc>
      </w:tr>
      <w:tr>
        <w:tc>
          <w:tcPr>
            <w:tcW w:type="dxa" w:w="2500"/>
          </w:tcPr>
          <w:p>
            <w:pPr>
              <w:jc w:val="right"/>
              <w:bidi w:val="1"/>
            </w:pPr>
            <w:r>
              <w:rPr>
                <w:rFonts w:ascii="Arial" w:hAnsi="Arial" w:cs="Arial"/>
                <w:b w:val="0"/>
                <w:color w:val="000000"/>
                <w:sz w:val="19"/>
                <w:rtl w:val="1"/>
              </w:rPr>
              <w:t>الأصناف والأسعار</w:t>
            </w:r>
          </w:p>
        </w:tc>
        <w:tc>
          <w:tcPr>
            <w:tcW w:type="dxa" w:w="6860"/>
          </w:tcPr>
          <w:p>
            <w:pPr>
              <w:jc w:val="right"/>
              <w:bidi w:val="1"/>
            </w:pPr>
            <w:r>
              <w:rPr>
                <w:rFonts w:ascii="Arial" w:hAnsi="Arial" w:cs="Arial"/>
                <w:b w:val="0"/>
                <w:color w:val="000000"/>
                <w:sz w:val="19"/>
                <w:rtl w:val="1"/>
              </w:rPr>
              <w:t>تعريف الأصناف والوحدات والتصنيفات، إدارة الملاحظات، تغيير الأسعار بقيمة أو نسبة، وإدارة العروض.</w:t>
            </w:r>
          </w:p>
        </w:tc>
      </w:tr>
      <w:tr>
        <w:tc>
          <w:tcPr>
            <w:tcW w:type="dxa" w:w="2500"/>
          </w:tcPr>
          <w:p>
            <w:pPr>
              <w:jc w:val="right"/>
              <w:bidi w:val="1"/>
            </w:pPr>
            <w:r>
              <w:rPr>
                <w:rFonts w:ascii="Arial" w:hAnsi="Arial" w:cs="Arial"/>
                <w:b w:val="0"/>
                <w:color w:val="000000"/>
                <w:sz w:val="19"/>
                <w:rtl w:val="1"/>
              </w:rPr>
              <w:t>المخزون والمستودعات</w:t>
            </w:r>
          </w:p>
        </w:tc>
        <w:tc>
          <w:tcPr>
            <w:tcW w:type="dxa" w:w="6860"/>
          </w:tcPr>
          <w:p>
            <w:pPr>
              <w:jc w:val="right"/>
              <w:bidi w:val="1"/>
            </w:pPr>
            <w:r>
              <w:rPr>
                <w:rFonts w:ascii="Arial" w:hAnsi="Arial" w:cs="Arial"/>
                <w:b w:val="0"/>
                <w:color w:val="000000"/>
                <w:sz w:val="19"/>
                <w:rtl w:val="1"/>
              </w:rPr>
              <w:t>كشف مخزون، جرد، تالف، تحويل بين المخازن، أوامر صرف واستلام، وتسوية مخزون.</w:t>
            </w:r>
          </w:p>
        </w:tc>
      </w:tr>
      <w:tr>
        <w:tc>
          <w:tcPr>
            <w:tcW w:type="dxa" w:w="2500"/>
          </w:tcPr>
          <w:p>
            <w:pPr>
              <w:jc w:val="right"/>
              <w:bidi w:val="1"/>
            </w:pPr>
            <w:r>
              <w:rPr>
                <w:rFonts w:ascii="Arial" w:hAnsi="Arial" w:cs="Arial"/>
                <w:b w:val="0"/>
                <w:color w:val="000000"/>
                <w:sz w:val="19"/>
                <w:rtl w:val="1"/>
              </w:rPr>
              <w:t>نظام الحسابات والدليل المحاسبي</w:t>
            </w:r>
          </w:p>
        </w:tc>
        <w:tc>
          <w:tcPr>
            <w:tcW w:type="dxa" w:w="6860"/>
          </w:tcPr>
          <w:p>
            <w:pPr>
              <w:jc w:val="right"/>
              <w:bidi w:val="1"/>
            </w:pPr>
            <w:r>
              <w:rPr>
                <w:rFonts w:ascii="Arial" w:hAnsi="Arial" w:cs="Arial"/>
                <w:b w:val="0"/>
                <w:color w:val="000000"/>
                <w:sz w:val="19"/>
                <w:rtl w:val="1"/>
              </w:rPr>
              <w:t>دليل حسابات، قيود يومية، سند قبض، سند صرف، إدارة شيكات، مراكز تكلفة، سنة مالية، وتقارير مالية.</w:t>
            </w:r>
          </w:p>
        </w:tc>
      </w:tr>
      <w:tr>
        <w:tc>
          <w:tcPr>
            <w:tcW w:type="dxa" w:w="2500"/>
          </w:tcPr>
          <w:p>
            <w:pPr>
              <w:jc w:val="right"/>
              <w:bidi w:val="1"/>
            </w:pPr>
            <w:r>
              <w:rPr>
                <w:rFonts w:ascii="Arial" w:hAnsi="Arial" w:cs="Arial"/>
                <w:b w:val="0"/>
                <w:color w:val="000000"/>
                <w:sz w:val="19"/>
                <w:rtl w:val="1"/>
              </w:rPr>
              <w:t>التقارير المالية</w:t>
            </w:r>
          </w:p>
        </w:tc>
        <w:tc>
          <w:tcPr>
            <w:tcW w:type="dxa" w:w="6860"/>
          </w:tcPr>
          <w:p>
            <w:pPr>
              <w:jc w:val="right"/>
              <w:bidi w:val="1"/>
            </w:pPr>
            <w:r>
              <w:rPr>
                <w:rFonts w:ascii="Arial" w:hAnsi="Arial" w:cs="Arial"/>
                <w:b w:val="0"/>
                <w:color w:val="000000"/>
                <w:sz w:val="19"/>
                <w:rtl w:val="1"/>
              </w:rPr>
              <w:t>ميزان مراجعة، كشف أستاذ، قائمة أرصدة، قائمة دخل، مركز مالي، تدفقات نقدية، وأرصدة مراكز تكلفة.</w:t>
            </w:r>
          </w:p>
        </w:tc>
      </w:tr>
      <w:tr>
        <w:tc>
          <w:tcPr>
            <w:tcW w:type="dxa" w:w="2500"/>
          </w:tcPr>
          <w:p>
            <w:pPr>
              <w:jc w:val="right"/>
              <w:bidi w:val="1"/>
            </w:pPr>
            <w:r>
              <w:rPr>
                <w:rFonts w:ascii="Arial" w:hAnsi="Arial" w:cs="Arial"/>
                <w:b w:val="0"/>
                <w:color w:val="000000"/>
                <w:sz w:val="19"/>
                <w:rtl w:val="1"/>
              </w:rPr>
              <w:t>التصنيع</w:t>
            </w:r>
          </w:p>
        </w:tc>
        <w:tc>
          <w:tcPr>
            <w:tcW w:type="dxa" w:w="6860"/>
          </w:tcPr>
          <w:p>
            <w:pPr>
              <w:jc w:val="right"/>
              <w:bidi w:val="1"/>
            </w:pPr>
            <w:r>
              <w:rPr>
                <w:rFonts w:ascii="Arial" w:hAnsi="Arial" w:cs="Arial"/>
                <w:b w:val="0"/>
                <w:color w:val="000000"/>
                <w:sz w:val="19"/>
                <w:rtl w:val="1"/>
              </w:rPr>
              <w:t>دعم التصنيع الآلي واليدوي للأنشطة التي تحتاج تحويل مواد إلى منتجات.</w:t>
            </w:r>
          </w:p>
        </w:tc>
      </w:tr>
      <w:tr>
        <w:tc>
          <w:tcPr>
            <w:tcW w:type="dxa" w:w="2500"/>
          </w:tcPr>
          <w:p>
            <w:pPr>
              <w:jc w:val="right"/>
              <w:bidi w:val="1"/>
            </w:pPr>
            <w:r>
              <w:rPr>
                <w:rFonts w:ascii="Arial" w:hAnsi="Arial" w:cs="Arial"/>
                <w:b w:val="0"/>
                <w:color w:val="000000"/>
                <w:sz w:val="19"/>
                <w:rtl w:val="1"/>
              </w:rPr>
              <w:t>إدارة النظام</w:t>
            </w:r>
          </w:p>
        </w:tc>
        <w:tc>
          <w:tcPr>
            <w:tcW w:type="dxa" w:w="6860"/>
          </w:tcPr>
          <w:p>
            <w:pPr>
              <w:jc w:val="right"/>
              <w:bidi w:val="1"/>
            </w:pPr>
            <w:r>
              <w:rPr>
                <w:rFonts w:ascii="Arial" w:hAnsi="Arial" w:cs="Arial"/>
                <w:b w:val="0"/>
                <w:color w:val="000000"/>
                <w:sz w:val="19"/>
                <w:rtl w:val="1"/>
              </w:rPr>
              <w:t>مستخدمون، صلاحيات، طابعات، نسخ احتياطي، إعدادات السيرفر، ومراقبة الشبكة.</w:t>
            </w:r>
          </w:p>
        </w:tc>
      </w:tr>
    </w:tbl>
    <w:p/>
    <w:p>
      <w:pPr>
        <w:pStyle w:val="Heading1"/>
        <w:spacing w:before="320" w:after="140"/>
        <w:jc w:val="right"/>
        <w:bidi w:val="1"/>
      </w:pPr>
      <w:r>
        <w:rPr>
          <w:rFonts w:ascii="Arial" w:hAnsi="Arial" w:cs="Arial"/>
          <w:b/>
          <w:color w:val="2E74B5"/>
          <w:sz w:val="34"/>
          <w:rtl w:val="1"/>
        </w:rPr>
        <w:t>4. نظام الحسابات والدليل المحاسبي</w:t>
      </w:r>
    </w:p>
    <w:p>
      <w:pPr>
        <w:spacing w:before="0" w:after="140" w:line="288" w:lineRule="auto"/>
        <w:jc w:val="right"/>
        <w:bidi w:val="1"/>
      </w:pPr>
      <w:r>
        <w:rPr>
          <w:rFonts w:ascii="Arial" w:hAnsi="Arial" w:cs="Arial"/>
          <w:b w:val="0"/>
          <w:color w:val="000000"/>
          <w:sz w:val="22"/>
          <w:rtl w:val="1"/>
        </w:rPr>
        <w:t>يضم CPOS نظام حسابات تابعًا لعمل النظام، وليس جزءًا منفصلاً عنه. الهدف هو أن تكون حركة المبيعات والمشتريات والخزينة والمخزون قابلة للربط بالدليل الحسابي، بحيث يحصل صاحب النشاط والمحاسب على بيانات مالية أوضح بدون إعادة إدخال كل شيء يدويًا.</w:t>
      </w:r>
    </w:p>
    <w:tbl>
      <w:tblPr>
        <w:tblW w:type="dxa" w:w="9360"/>
        <w:jc w:val="right"/>
        <w:tblLook w:firstColumn="1" w:firstRow="1" w:lastColumn="0" w:lastRow="0" w:noHBand="0" w:noVBand="1" w:val="04A0"/>
        <w:tblInd w:w="120" w:type="dxa"/>
        <w:tblLayout w:type="fixed"/>
      </w:tblPr>
      <w:tblGrid>
        <w:gridCol w:w="9360"/>
      </w:tblGrid>
      <w:tr>
        <w:tc>
          <w:tcPr>
            <w:tcW w:type="dxa" w:w="9360"/>
            <w:vAlign w:val="center"/>
            <w:tcMar>
              <w:top w:w="100" w:type="dxa"/>
              <w:start w:w="140" w:type="dxa"/>
              <w:bottom w:w="100" w:type="dxa"/>
              <w:end w:w="140" w:type="dxa"/>
            </w:tcMar>
            <w:shd w:fill="EAF4EF"/>
          </w:tcPr>
          <w:p>
            <w:pPr>
              <w:spacing w:after="0"/>
              <w:jc w:val="right"/>
              <w:bidi w:val="1"/>
            </w:pPr>
            <w:r>
              <w:rPr>
                <w:rFonts w:ascii="Arial" w:hAnsi="Arial" w:cs="Arial"/>
                <w:b/>
                <w:color w:val="0B2545"/>
                <w:sz w:val="25"/>
                <w:rtl w:val="1"/>
              </w:rPr>
              <w:t>ما الذي يميز هذه الجزئية؟</w:t>
            </w:r>
            <w:r>
              <w:rPr>
                <w:rtl w:val="1"/>
              </w:rPr>
              <w:br/>
            </w:r>
            <w:r>
              <w:rPr>
                <w:rFonts w:ascii="Arial" w:hAnsi="Arial" w:cs="Arial"/>
                <w:b w:val="0"/>
                <w:color w:val="000000"/>
                <w:sz w:val="21"/>
                <w:rtl w:val="1"/>
              </w:rPr>
              <w:t>كل حساب يمكن تعريفه داخل الدليل الحسابي، ثم استخدامه في العمليات اليومية مثل البيع، الشراء، القبض، الصرف، المصروفات، المخزون، الخصومات، ومراكز التكلفة.</w:t>
            </w:r>
          </w:p>
        </w:tc>
      </w:tr>
    </w:tbl>
    <w:p/>
    <w:p>
      <w:pPr>
        <w:pStyle w:val="Heading2"/>
        <w:spacing w:before="200" w:after="100"/>
        <w:jc w:val="right"/>
        <w:bidi w:val="1"/>
      </w:pPr>
      <w:r>
        <w:rPr>
          <w:rFonts w:ascii="Arial" w:hAnsi="Arial" w:cs="Arial"/>
          <w:b/>
          <w:color w:val="1F4D78"/>
          <w:sz w:val="27"/>
          <w:rtl w:val="1"/>
        </w:rPr>
        <w:t>4.1 لوحة متابعة الحسابات</w:t>
      </w:r>
    </w:p>
    <w:tbl>
      <w:tblPr>
        <w:tblW w:type="dxa" w:w="9360"/>
        <w:jc w:val="right"/>
        <w:tblLook w:firstColumn="1" w:firstRow="1" w:lastColumn="0" w:lastRow="0" w:noHBand="0" w:noVBand="1" w:val="04A0"/>
        <w:tblInd w:w="120" w:type="dxa"/>
        <w:tblLayout w:type="fixed"/>
      </w:tblPr>
      <w:tblGrid>
        <w:gridCol w:w="3000"/>
        <w:gridCol w:w="6360"/>
      </w:tblGrid>
      <w:tr>
        <w:tc>
          <w:tcPr>
            <w:tcW w:type="dxa" w:w="300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المؤشر</w:t>
            </w:r>
          </w:p>
        </w:tc>
        <w:tc>
          <w:tcPr>
            <w:tcW w:type="dxa" w:w="636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ماذا يعني للعميل؟</w:t>
            </w:r>
          </w:p>
        </w:tc>
      </w:tr>
      <w:tr>
        <w:tc>
          <w:tcPr>
            <w:tcW w:type="dxa" w:w="3000"/>
          </w:tcPr>
          <w:p>
            <w:pPr>
              <w:jc w:val="right"/>
              <w:bidi w:val="1"/>
            </w:pPr>
            <w:r>
              <w:rPr>
                <w:rFonts w:ascii="Arial" w:hAnsi="Arial" w:cs="Arial"/>
                <w:b w:val="0"/>
                <w:color w:val="000000"/>
                <w:sz w:val="19"/>
                <w:rtl w:val="1"/>
              </w:rPr>
              <w:t>عدد الحسابات</w:t>
            </w:r>
          </w:p>
        </w:tc>
        <w:tc>
          <w:tcPr>
            <w:tcW w:type="dxa" w:w="6360"/>
          </w:tcPr>
          <w:p>
            <w:pPr>
              <w:jc w:val="right"/>
              <w:bidi w:val="1"/>
            </w:pPr>
            <w:r>
              <w:rPr>
                <w:rFonts w:ascii="Arial" w:hAnsi="Arial" w:cs="Arial"/>
                <w:b w:val="0"/>
                <w:color w:val="000000"/>
                <w:sz w:val="19"/>
                <w:rtl w:val="1"/>
              </w:rPr>
              <w:t>يعكس حجم الدليل الحسابي والحسابات المعرفة داخل النظام.</w:t>
            </w:r>
          </w:p>
        </w:tc>
      </w:tr>
      <w:tr>
        <w:tc>
          <w:tcPr>
            <w:tcW w:type="dxa" w:w="3000"/>
          </w:tcPr>
          <w:p>
            <w:pPr>
              <w:jc w:val="right"/>
              <w:bidi w:val="1"/>
            </w:pPr>
            <w:r>
              <w:rPr>
                <w:rFonts w:ascii="Arial" w:hAnsi="Arial" w:cs="Arial"/>
                <w:b w:val="0"/>
                <w:color w:val="000000"/>
                <w:sz w:val="19"/>
                <w:rtl w:val="1"/>
              </w:rPr>
              <w:t>إجمالي القيود</w:t>
            </w:r>
          </w:p>
        </w:tc>
        <w:tc>
          <w:tcPr>
            <w:tcW w:type="dxa" w:w="6360"/>
          </w:tcPr>
          <w:p>
            <w:pPr>
              <w:jc w:val="right"/>
              <w:bidi w:val="1"/>
            </w:pPr>
            <w:r>
              <w:rPr>
                <w:rFonts w:ascii="Arial" w:hAnsi="Arial" w:cs="Arial"/>
                <w:b w:val="0"/>
                <w:color w:val="000000"/>
                <w:sz w:val="19"/>
                <w:rtl w:val="1"/>
              </w:rPr>
              <w:t>يوضح عدد القيود المالية المسجلة والقابلة للمراجعة.</w:t>
            </w:r>
          </w:p>
        </w:tc>
      </w:tr>
      <w:tr>
        <w:tc>
          <w:tcPr>
            <w:tcW w:type="dxa" w:w="3000"/>
          </w:tcPr>
          <w:p>
            <w:pPr>
              <w:jc w:val="right"/>
              <w:bidi w:val="1"/>
            </w:pPr>
            <w:r>
              <w:rPr>
                <w:rFonts w:ascii="Arial" w:hAnsi="Arial" w:cs="Arial"/>
                <w:b w:val="0"/>
                <w:color w:val="000000"/>
                <w:sz w:val="19"/>
                <w:rtl w:val="1"/>
              </w:rPr>
              <w:t>قيود اليوم</w:t>
            </w:r>
          </w:p>
        </w:tc>
        <w:tc>
          <w:tcPr>
            <w:tcW w:type="dxa" w:w="6360"/>
          </w:tcPr>
          <w:p>
            <w:pPr>
              <w:jc w:val="right"/>
              <w:bidi w:val="1"/>
            </w:pPr>
            <w:r>
              <w:rPr>
                <w:rFonts w:ascii="Arial" w:hAnsi="Arial" w:cs="Arial"/>
                <w:b w:val="0"/>
                <w:color w:val="000000"/>
                <w:sz w:val="19"/>
                <w:rtl w:val="1"/>
              </w:rPr>
              <w:t>يعطي الإدارة متابعة يومية للحركة المحاسبية الجديدة.</w:t>
            </w:r>
          </w:p>
        </w:tc>
      </w:tr>
      <w:tr>
        <w:tc>
          <w:tcPr>
            <w:tcW w:type="dxa" w:w="3000"/>
          </w:tcPr>
          <w:p>
            <w:pPr>
              <w:jc w:val="right"/>
              <w:bidi w:val="1"/>
            </w:pPr>
            <w:r>
              <w:rPr>
                <w:rFonts w:ascii="Arial" w:hAnsi="Arial" w:cs="Arial"/>
                <w:b w:val="0"/>
                <w:color w:val="000000"/>
                <w:sz w:val="19"/>
                <w:rtl w:val="1"/>
              </w:rPr>
              <w:t>الرصيد المدين والدائن</w:t>
            </w:r>
          </w:p>
        </w:tc>
        <w:tc>
          <w:tcPr>
            <w:tcW w:type="dxa" w:w="6360"/>
          </w:tcPr>
          <w:p>
            <w:pPr>
              <w:jc w:val="right"/>
              <w:bidi w:val="1"/>
            </w:pPr>
            <w:r>
              <w:rPr>
                <w:rFonts w:ascii="Arial" w:hAnsi="Arial" w:cs="Arial"/>
                <w:b w:val="0"/>
                <w:color w:val="000000"/>
                <w:sz w:val="19"/>
                <w:rtl w:val="1"/>
              </w:rPr>
              <w:t>يساعد على متابعة توازن القيود والأرصدة.</w:t>
            </w:r>
          </w:p>
        </w:tc>
      </w:tr>
      <w:tr>
        <w:tc>
          <w:tcPr>
            <w:tcW w:type="dxa" w:w="3000"/>
          </w:tcPr>
          <w:p>
            <w:pPr>
              <w:jc w:val="right"/>
              <w:bidi w:val="1"/>
            </w:pPr>
            <w:r>
              <w:rPr>
                <w:rFonts w:ascii="Arial" w:hAnsi="Arial" w:cs="Arial"/>
                <w:b w:val="0"/>
                <w:color w:val="000000"/>
                <w:sz w:val="19"/>
                <w:rtl w:val="1"/>
              </w:rPr>
              <w:t>السنة المالية</w:t>
            </w:r>
          </w:p>
        </w:tc>
        <w:tc>
          <w:tcPr>
            <w:tcW w:type="dxa" w:w="6360"/>
          </w:tcPr>
          <w:p>
            <w:pPr>
              <w:jc w:val="right"/>
              <w:bidi w:val="1"/>
            </w:pPr>
            <w:r>
              <w:rPr>
                <w:rFonts w:ascii="Arial" w:hAnsi="Arial" w:cs="Arial"/>
                <w:b w:val="0"/>
                <w:color w:val="000000"/>
                <w:sz w:val="19"/>
                <w:rtl w:val="1"/>
              </w:rPr>
              <w:t>تنظيم الحركات والتقارير ضمن سنة مالية واضحة.</w:t>
            </w:r>
          </w:p>
        </w:tc>
      </w:tr>
    </w:tbl>
    <w:p/>
    <w:p>
      <w:pPr>
        <w:pStyle w:val="Heading2"/>
        <w:spacing w:before="200" w:after="100"/>
        <w:jc w:val="right"/>
        <w:bidi w:val="1"/>
      </w:pPr>
      <w:r>
        <w:rPr>
          <w:rFonts w:ascii="Arial" w:hAnsi="Arial" w:cs="Arial"/>
          <w:b/>
          <w:color w:val="1F4D78"/>
          <w:sz w:val="27"/>
          <w:rtl w:val="1"/>
        </w:rPr>
        <w:t>4.2 البيانات الأساسية للحسابات</w:t>
      </w:r>
    </w:p>
    <w:tbl>
      <w:tblPr>
        <w:tblW w:type="dxa" w:w="9360"/>
        <w:jc w:val="right"/>
        <w:tblLook w:firstColumn="1" w:firstRow="1" w:lastColumn="0" w:lastRow="0" w:noHBand="0" w:noVBand="1" w:val="04A0"/>
        <w:tblInd w:w="120" w:type="dxa"/>
        <w:tblLayout w:type="fixed"/>
      </w:tblPr>
      <w:tblGrid>
        <w:gridCol w:w="3000"/>
        <w:gridCol w:w="6360"/>
      </w:tblGrid>
      <w:tr>
        <w:tc>
          <w:tcPr>
            <w:tcW w:type="dxa" w:w="300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الميزة</w:t>
            </w:r>
          </w:p>
        </w:tc>
        <w:tc>
          <w:tcPr>
            <w:tcW w:type="dxa" w:w="636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شرحها</w:t>
            </w:r>
          </w:p>
        </w:tc>
      </w:tr>
      <w:tr>
        <w:tc>
          <w:tcPr>
            <w:tcW w:type="dxa" w:w="3000"/>
          </w:tcPr>
          <w:p>
            <w:pPr>
              <w:jc w:val="right"/>
              <w:bidi w:val="1"/>
            </w:pPr>
            <w:r>
              <w:rPr>
                <w:rFonts w:ascii="Arial" w:hAnsi="Arial" w:cs="Arial"/>
                <w:b w:val="0"/>
                <w:color w:val="000000"/>
                <w:sz w:val="19"/>
                <w:rtl w:val="1"/>
              </w:rPr>
              <w:t>الدليل الحسابي</w:t>
            </w:r>
          </w:p>
        </w:tc>
        <w:tc>
          <w:tcPr>
            <w:tcW w:type="dxa" w:w="6360"/>
          </w:tcPr>
          <w:p>
            <w:pPr>
              <w:jc w:val="right"/>
              <w:bidi w:val="1"/>
            </w:pPr>
            <w:r>
              <w:rPr>
                <w:rFonts w:ascii="Arial" w:hAnsi="Arial" w:cs="Arial"/>
                <w:b w:val="0"/>
                <w:color w:val="000000"/>
                <w:sz w:val="19"/>
                <w:rtl w:val="1"/>
              </w:rPr>
              <w:t>شجرة الحسابات التي يتم فيها تعريف حسابات الصندوق، البنك، العملاء، الموردين، المبيعات، المشتريات، المخزون، المصروفات، والخصومات.</w:t>
            </w:r>
          </w:p>
        </w:tc>
      </w:tr>
      <w:tr>
        <w:tc>
          <w:tcPr>
            <w:tcW w:type="dxa" w:w="3000"/>
          </w:tcPr>
          <w:p>
            <w:pPr>
              <w:jc w:val="right"/>
              <w:bidi w:val="1"/>
            </w:pPr>
            <w:r>
              <w:rPr>
                <w:rFonts w:ascii="Arial" w:hAnsi="Arial" w:cs="Arial"/>
                <w:b w:val="0"/>
                <w:color w:val="000000"/>
                <w:sz w:val="19"/>
                <w:rtl w:val="1"/>
              </w:rPr>
              <w:t>الأصول الثابتة</w:t>
            </w:r>
          </w:p>
        </w:tc>
        <w:tc>
          <w:tcPr>
            <w:tcW w:type="dxa" w:w="6360"/>
          </w:tcPr>
          <w:p>
            <w:pPr>
              <w:jc w:val="right"/>
              <w:bidi w:val="1"/>
            </w:pPr>
            <w:r>
              <w:rPr>
                <w:rFonts w:ascii="Arial" w:hAnsi="Arial" w:cs="Arial"/>
                <w:b w:val="0"/>
                <w:color w:val="000000"/>
                <w:sz w:val="19"/>
                <w:rtl w:val="1"/>
              </w:rPr>
              <w:t>تنظيم حسابات أو بيانات الأصول التي تحتاج متابعة مالية.</w:t>
            </w:r>
          </w:p>
        </w:tc>
      </w:tr>
      <w:tr>
        <w:tc>
          <w:tcPr>
            <w:tcW w:type="dxa" w:w="3000"/>
          </w:tcPr>
          <w:p>
            <w:pPr>
              <w:jc w:val="right"/>
              <w:bidi w:val="1"/>
            </w:pPr>
            <w:r>
              <w:rPr>
                <w:rFonts w:ascii="Arial" w:hAnsi="Arial" w:cs="Arial"/>
                <w:b w:val="0"/>
                <w:color w:val="000000"/>
                <w:sz w:val="19"/>
                <w:rtl w:val="1"/>
              </w:rPr>
              <w:t>مراكز التكلفة</w:t>
            </w:r>
          </w:p>
        </w:tc>
        <w:tc>
          <w:tcPr>
            <w:tcW w:type="dxa" w:w="6360"/>
          </w:tcPr>
          <w:p>
            <w:pPr>
              <w:jc w:val="right"/>
              <w:bidi w:val="1"/>
            </w:pPr>
            <w:r>
              <w:rPr>
                <w:rFonts w:ascii="Arial" w:hAnsi="Arial" w:cs="Arial"/>
                <w:b w:val="0"/>
                <w:color w:val="000000"/>
                <w:sz w:val="19"/>
                <w:rtl w:val="1"/>
              </w:rPr>
              <w:t>توزيع المصروفات والإيرادات حسب فرع أو مشروع أو نشاط.</w:t>
            </w:r>
          </w:p>
        </w:tc>
      </w:tr>
      <w:tr>
        <w:tc>
          <w:tcPr>
            <w:tcW w:type="dxa" w:w="3000"/>
          </w:tcPr>
          <w:p>
            <w:pPr>
              <w:jc w:val="right"/>
              <w:bidi w:val="1"/>
            </w:pPr>
            <w:r>
              <w:rPr>
                <w:rFonts w:ascii="Arial" w:hAnsi="Arial" w:cs="Arial"/>
                <w:b w:val="0"/>
                <w:color w:val="000000"/>
                <w:sz w:val="19"/>
                <w:rtl w:val="1"/>
              </w:rPr>
              <w:t>العملات</w:t>
            </w:r>
          </w:p>
        </w:tc>
        <w:tc>
          <w:tcPr>
            <w:tcW w:type="dxa" w:w="6360"/>
          </w:tcPr>
          <w:p>
            <w:pPr>
              <w:jc w:val="right"/>
              <w:bidi w:val="1"/>
            </w:pPr>
            <w:r>
              <w:rPr>
                <w:rFonts w:ascii="Arial" w:hAnsi="Arial" w:cs="Arial"/>
                <w:b w:val="0"/>
                <w:color w:val="000000"/>
                <w:sz w:val="19"/>
                <w:rtl w:val="1"/>
              </w:rPr>
              <w:t>تعريف العملات عند الحاجة للتعامل بأكثر من عملة.</w:t>
            </w:r>
          </w:p>
        </w:tc>
      </w:tr>
      <w:tr>
        <w:tc>
          <w:tcPr>
            <w:tcW w:type="dxa" w:w="3000"/>
          </w:tcPr>
          <w:p>
            <w:pPr>
              <w:jc w:val="right"/>
              <w:bidi w:val="1"/>
            </w:pPr>
            <w:r>
              <w:rPr>
                <w:rFonts w:ascii="Arial" w:hAnsi="Arial" w:cs="Arial"/>
                <w:b w:val="0"/>
                <w:color w:val="000000"/>
                <w:sz w:val="19"/>
                <w:rtl w:val="1"/>
              </w:rPr>
              <w:t>السنة المالية</w:t>
            </w:r>
          </w:p>
        </w:tc>
        <w:tc>
          <w:tcPr>
            <w:tcW w:type="dxa" w:w="6360"/>
          </w:tcPr>
          <w:p>
            <w:pPr>
              <w:jc w:val="right"/>
              <w:bidi w:val="1"/>
            </w:pPr>
            <w:r>
              <w:rPr>
                <w:rFonts w:ascii="Arial" w:hAnsi="Arial" w:cs="Arial"/>
                <w:b w:val="0"/>
                <w:color w:val="000000"/>
                <w:sz w:val="19"/>
                <w:rtl w:val="1"/>
              </w:rPr>
              <w:t>تحديد الفترة المالية التي يتم العمل والتقرير عليها.</w:t>
            </w:r>
          </w:p>
        </w:tc>
      </w:tr>
    </w:tbl>
    <w:p/>
    <w:p>
      <w:pPr>
        <w:pStyle w:val="Heading2"/>
        <w:spacing w:before="200" w:after="100"/>
        <w:jc w:val="right"/>
        <w:bidi w:val="1"/>
      </w:pPr>
      <w:r>
        <w:rPr>
          <w:rFonts w:ascii="Arial" w:hAnsi="Arial" w:cs="Arial"/>
          <w:b/>
          <w:color w:val="1F4D78"/>
          <w:sz w:val="27"/>
          <w:rtl w:val="1"/>
        </w:rPr>
        <w:t>4.3 الإدخال اليومي والسندات</w:t>
      </w:r>
    </w:p>
    <w:tbl>
      <w:tblPr>
        <w:tblW w:type="dxa" w:w="9360"/>
        <w:jc w:val="right"/>
        <w:tblLook w:firstColumn="1" w:firstRow="1" w:lastColumn="0" w:lastRow="0" w:noHBand="0" w:noVBand="1" w:val="04A0"/>
        <w:tblInd w:w="120" w:type="dxa"/>
        <w:tblLayout w:type="fixed"/>
      </w:tblPr>
      <w:tblGrid>
        <w:gridCol w:w="3000"/>
        <w:gridCol w:w="6360"/>
      </w:tblGrid>
      <w:tr>
        <w:tc>
          <w:tcPr>
            <w:tcW w:type="dxa" w:w="300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الميزة</w:t>
            </w:r>
          </w:p>
        </w:tc>
        <w:tc>
          <w:tcPr>
            <w:tcW w:type="dxa" w:w="636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شرحها</w:t>
            </w:r>
          </w:p>
        </w:tc>
      </w:tr>
      <w:tr>
        <w:tc>
          <w:tcPr>
            <w:tcW w:type="dxa" w:w="3000"/>
          </w:tcPr>
          <w:p>
            <w:pPr>
              <w:jc w:val="right"/>
              <w:bidi w:val="1"/>
            </w:pPr>
            <w:r>
              <w:rPr>
                <w:rFonts w:ascii="Arial" w:hAnsi="Arial" w:cs="Arial"/>
                <w:b w:val="0"/>
                <w:color w:val="000000"/>
                <w:sz w:val="19"/>
                <w:rtl w:val="1"/>
              </w:rPr>
              <w:t>القيود اليومية</w:t>
            </w:r>
          </w:p>
        </w:tc>
        <w:tc>
          <w:tcPr>
            <w:tcW w:type="dxa" w:w="6360"/>
          </w:tcPr>
          <w:p>
            <w:pPr>
              <w:jc w:val="right"/>
              <w:bidi w:val="1"/>
            </w:pPr>
            <w:r>
              <w:rPr>
                <w:rFonts w:ascii="Arial" w:hAnsi="Arial" w:cs="Arial"/>
                <w:b w:val="0"/>
                <w:color w:val="000000"/>
                <w:sz w:val="19"/>
                <w:rtl w:val="1"/>
              </w:rPr>
              <w:t>تسجيل ومراجعة القيود المالية الناتجة عن العمليات أو الإدخالات المباشرة.</w:t>
            </w:r>
          </w:p>
        </w:tc>
      </w:tr>
      <w:tr>
        <w:tc>
          <w:tcPr>
            <w:tcW w:type="dxa" w:w="3000"/>
          </w:tcPr>
          <w:p>
            <w:pPr>
              <w:jc w:val="right"/>
              <w:bidi w:val="1"/>
            </w:pPr>
            <w:r>
              <w:rPr>
                <w:rFonts w:ascii="Arial" w:hAnsi="Arial" w:cs="Arial"/>
                <w:b w:val="0"/>
                <w:color w:val="000000"/>
                <w:sz w:val="19"/>
                <w:rtl w:val="1"/>
              </w:rPr>
              <w:t>سند قبض</w:t>
            </w:r>
          </w:p>
        </w:tc>
        <w:tc>
          <w:tcPr>
            <w:tcW w:type="dxa" w:w="6360"/>
          </w:tcPr>
          <w:p>
            <w:pPr>
              <w:jc w:val="right"/>
              <w:bidi w:val="1"/>
            </w:pPr>
            <w:r>
              <w:rPr>
                <w:rFonts w:ascii="Arial" w:hAnsi="Arial" w:cs="Arial"/>
                <w:b w:val="0"/>
                <w:color w:val="000000"/>
                <w:sz w:val="19"/>
                <w:rtl w:val="1"/>
              </w:rPr>
              <w:t>تسجيل التحصيلات من العملاء أو الحسابات المختلفة وربطها بالخزينة.</w:t>
            </w:r>
          </w:p>
        </w:tc>
      </w:tr>
      <w:tr>
        <w:tc>
          <w:tcPr>
            <w:tcW w:type="dxa" w:w="3000"/>
          </w:tcPr>
          <w:p>
            <w:pPr>
              <w:jc w:val="right"/>
              <w:bidi w:val="1"/>
            </w:pPr>
            <w:r>
              <w:rPr>
                <w:rFonts w:ascii="Arial" w:hAnsi="Arial" w:cs="Arial"/>
                <w:b w:val="0"/>
                <w:color w:val="000000"/>
                <w:sz w:val="19"/>
                <w:rtl w:val="1"/>
              </w:rPr>
              <w:t>سند صرف</w:t>
            </w:r>
          </w:p>
        </w:tc>
        <w:tc>
          <w:tcPr>
            <w:tcW w:type="dxa" w:w="6360"/>
          </w:tcPr>
          <w:p>
            <w:pPr>
              <w:jc w:val="right"/>
              <w:bidi w:val="1"/>
            </w:pPr>
            <w:r>
              <w:rPr>
                <w:rFonts w:ascii="Arial" w:hAnsi="Arial" w:cs="Arial"/>
                <w:b w:val="0"/>
                <w:color w:val="000000"/>
                <w:sz w:val="19"/>
                <w:rtl w:val="1"/>
              </w:rPr>
              <w:t>تسجيل المدفوعات للموردين أو المصروفات أو أي حساب آخر.</w:t>
            </w:r>
          </w:p>
        </w:tc>
      </w:tr>
      <w:tr>
        <w:tc>
          <w:tcPr>
            <w:tcW w:type="dxa" w:w="3000"/>
          </w:tcPr>
          <w:p>
            <w:pPr>
              <w:jc w:val="right"/>
              <w:bidi w:val="1"/>
            </w:pPr>
            <w:r>
              <w:rPr>
                <w:rFonts w:ascii="Arial" w:hAnsi="Arial" w:cs="Arial"/>
                <w:b w:val="0"/>
                <w:color w:val="000000"/>
                <w:sz w:val="19"/>
                <w:rtl w:val="1"/>
              </w:rPr>
              <w:t>إدارة الشيكات</w:t>
            </w:r>
          </w:p>
        </w:tc>
        <w:tc>
          <w:tcPr>
            <w:tcW w:type="dxa" w:w="6360"/>
          </w:tcPr>
          <w:p>
            <w:pPr>
              <w:jc w:val="right"/>
              <w:bidi w:val="1"/>
            </w:pPr>
            <w:r>
              <w:rPr>
                <w:rFonts w:ascii="Arial" w:hAnsi="Arial" w:cs="Arial"/>
                <w:b w:val="0"/>
                <w:color w:val="000000"/>
                <w:sz w:val="19"/>
                <w:rtl w:val="1"/>
              </w:rPr>
              <w:t>متابعة الشيكات ضمن الحركة المالية عند استخدامها.</w:t>
            </w:r>
          </w:p>
        </w:tc>
      </w:tr>
      <w:tr>
        <w:tc>
          <w:tcPr>
            <w:tcW w:type="dxa" w:w="3000"/>
          </w:tcPr>
          <w:p>
            <w:pPr>
              <w:jc w:val="right"/>
              <w:bidi w:val="1"/>
            </w:pPr>
            <w:r>
              <w:rPr>
                <w:rFonts w:ascii="Arial" w:hAnsi="Arial" w:cs="Arial"/>
                <w:b w:val="0"/>
                <w:color w:val="000000"/>
                <w:sz w:val="19"/>
                <w:rtl w:val="1"/>
              </w:rPr>
              <w:t>مذكرة التسوية</w:t>
            </w:r>
          </w:p>
        </w:tc>
        <w:tc>
          <w:tcPr>
            <w:tcW w:type="dxa" w:w="6360"/>
          </w:tcPr>
          <w:p>
            <w:pPr>
              <w:jc w:val="right"/>
              <w:bidi w:val="1"/>
            </w:pPr>
            <w:r>
              <w:rPr>
                <w:rFonts w:ascii="Arial" w:hAnsi="Arial" w:cs="Arial"/>
                <w:b w:val="0"/>
                <w:color w:val="000000"/>
                <w:sz w:val="19"/>
                <w:rtl w:val="1"/>
              </w:rPr>
              <w:t>تسوية الفروقات أو الحركات التي تحتاج ضبط محاسبي.</w:t>
            </w:r>
          </w:p>
        </w:tc>
      </w:tr>
      <w:tr>
        <w:tc>
          <w:tcPr>
            <w:tcW w:type="dxa" w:w="3000"/>
          </w:tcPr>
          <w:p>
            <w:pPr>
              <w:jc w:val="right"/>
              <w:bidi w:val="1"/>
            </w:pPr>
            <w:r>
              <w:rPr>
                <w:rFonts w:ascii="Arial" w:hAnsi="Arial" w:cs="Arial"/>
                <w:b w:val="0"/>
                <w:color w:val="000000"/>
                <w:sz w:val="19"/>
                <w:rtl w:val="1"/>
              </w:rPr>
              <w:t>قائمة القيود اليومية</w:t>
            </w:r>
          </w:p>
        </w:tc>
        <w:tc>
          <w:tcPr>
            <w:tcW w:type="dxa" w:w="6360"/>
          </w:tcPr>
          <w:p>
            <w:pPr>
              <w:jc w:val="right"/>
              <w:bidi w:val="1"/>
            </w:pPr>
            <w:r>
              <w:rPr>
                <w:rFonts w:ascii="Arial" w:hAnsi="Arial" w:cs="Arial"/>
                <w:b w:val="0"/>
                <w:color w:val="000000"/>
                <w:sz w:val="19"/>
                <w:rtl w:val="1"/>
              </w:rPr>
              <w:t>عرض ومراجعة القيود المسجلة بطريقة منظمة.</w:t>
            </w:r>
          </w:p>
        </w:tc>
      </w:tr>
    </w:tbl>
    <w:p/>
    <w:p>
      <w:pPr>
        <w:pStyle w:val="Heading2"/>
        <w:spacing w:before="200" w:after="100"/>
        <w:jc w:val="right"/>
        <w:bidi w:val="1"/>
      </w:pPr>
      <w:r>
        <w:rPr>
          <w:rFonts w:ascii="Arial" w:hAnsi="Arial" w:cs="Arial"/>
          <w:b/>
          <w:color w:val="1F4D78"/>
          <w:sz w:val="27"/>
          <w:rtl w:val="1"/>
        </w:rPr>
        <w:t>4.4 التقارير المالية</w:t>
      </w:r>
    </w:p>
    <w:tbl>
      <w:tblPr>
        <w:tblW w:type="dxa" w:w="9360"/>
        <w:jc w:val="right"/>
        <w:tblLook w:firstColumn="1" w:firstRow="1" w:lastColumn="0" w:lastRow="0" w:noHBand="0" w:noVBand="1" w:val="04A0"/>
        <w:tblInd w:w="120" w:type="dxa"/>
        <w:tblLayout w:type="fixed"/>
      </w:tblPr>
      <w:tblGrid>
        <w:gridCol w:w="3100"/>
        <w:gridCol w:w="6260"/>
      </w:tblGrid>
      <w:tr>
        <w:tc>
          <w:tcPr>
            <w:tcW w:type="dxa" w:w="310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التقرير</w:t>
            </w:r>
          </w:p>
        </w:tc>
        <w:tc>
          <w:tcPr>
            <w:tcW w:type="dxa" w:w="626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الفائدة</w:t>
            </w:r>
          </w:p>
        </w:tc>
      </w:tr>
      <w:tr>
        <w:tc>
          <w:tcPr>
            <w:tcW w:type="dxa" w:w="3100"/>
          </w:tcPr>
          <w:p>
            <w:pPr>
              <w:jc w:val="right"/>
              <w:bidi w:val="1"/>
            </w:pPr>
            <w:r>
              <w:rPr>
                <w:rFonts w:ascii="Arial" w:hAnsi="Arial" w:cs="Arial"/>
                <w:b w:val="0"/>
                <w:color w:val="000000"/>
                <w:sz w:val="19"/>
                <w:rtl w:val="1"/>
              </w:rPr>
              <w:t>ميزان المراجعة</w:t>
            </w:r>
          </w:p>
        </w:tc>
        <w:tc>
          <w:tcPr>
            <w:tcW w:type="dxa" w:w="6260"/>
          </w:tcPr>
          <w:p>
            <w:pPr>
              <w:jc w:val="right"/>
              <w:bidi w:val="1"/>
            </w:pPr>
            <w:r>
              <w:rPr>
                <w:rFonts w:ascii="Arial" w:hAnsi="Arial" w:cs="Arial"/>
                <w:b w:val="0"/>
                <w:color w:val="000000"/>
                <w:sz w:val="19"/>
                <w:rtl w:val="1"/>
              </w:rPr>
              <w:t>مراجعة أرصدة الحسابات والتحقق من توازن الحركة.</w:t>
            </w:r>
          </w:p>
        </w:tc>
      </w:tr>
      <w:tr>
        <w:tc>
          <w:tcPr>
            <w:tcW w:type="dxa" w:w="3100"/>
          </w:tcPr>
          <w:p>
            <w:pPr>
              <w:jc w:val="right"/>
              <w:bidi w:val="1"/>
            </w:pPr>
            <w:r>
              <w:rPr>
                <w:rFonts w:ascii="Arial" w:hAnsi="Arial" w:cs="Arial"/>
                <w:b w:val="0"/>
                <w:color w:val="000000"/>
                <w:sz w:val="19"/>
                <w:rtl w:val="1"/>
              </w:rPr>
              <w:t>كشف أستاذ</w:t>
            </w:r>
          </w:p>
        </w:tc>
        <w:tc>
          <w:tcPr>
            <w:tcW w:type="dxa" w:w="6260"/>
          </w:tcPr>
          <w:p>
            <w:pPr>
              <w:jc w:val="right"/>
              <w:bidi w:val="1"/>
            </w:pPr>
            <w:r>
              <w:rPr>
                <w:rFonts w:ascii="Arial" w:hAnsi="Arial" w:cs="Arial"/>
                <w:b w:val="0"/>
                <w:color w:val="000000"/>
                <w:sz w:val="19"/>
                <w:rtl w:val="1"/>
              </w:rPr>
              <w:t>متابعة حركة حساب محدد بالتفصيل.</w:t>
            </w:r>
          </w:p>
        </w:tc>
      </w:tr>
      <w:tr>
        <w:tc>
          <w:tcPr>
            <w:tcW w:type="dxa" w:w="3100"/>
          </w:tcPr>
          <w:p>
            <w:pPr>
              <w:jc w:val="right"/>
              <w:bidi w:val="1"/>
            </w:pPr>
            <w:r>
              <w:rPr>
                <w:rFonts w:ascii="Arial" w:hAnsi="Arial" w:cs="Arial"/>
                <w:b w:val="0"/>
                <w:color w:val="000000"/>
                <w:sz w:val="19"/>
                <w:rtl w:val="1"/>
              </w:rPr>
              <w:t>قائمة الأرصدة</w:t>
            </w:r>
          </w:p>
        </w:tc>
        <w:tc>
          <w:tcPr>
            <w:tcW w:type="dxa" w:w="6260"/>
          </w:tcPr>
          <w:p>
            <w:pPr>
              <w:jc w:val="right"/>
              <w:bidi w:val="1"/>
            </w:pPr>
            <w:r>
              <w:rPr>
                <w:rFonts w:ascii="Arial" w:hAnsi="Arial" w:cs="Arial"/>
                <w:b w:val="0"/>
                <w:color w:val="000000"/>
                <w:sz w:val="19"/>
                <w:rtl w:val="1"/>
              </w:rPr>
              <w:t>عرض أرصدة الحسابات بصورة مختصرة.</w:t>
            </w:r>
          </w:p>
        </w:tc>
      </w:tr>
      <w:tr>
        <w:tc>
          <w:tcPr>
            <w:tcW w:type="dxa" w:w="3100"/>
          </w:tcPr>
          <w:p>
            <w:pPr>
              <w:jc w:val="right"/>
              <w:bidi w:val="1"/>
            </w:pPr>
            <w:r>
              <w:rPr>
                <w:rFonts w:ascii="Arial" w:hAnsi="Arial" w:cs="Arial"/>
                <w:b w:val="0"/>
                <w:color w:val="000000"/>
                <w:sz w:val="19"/>
                <w:rtl w:val="1"/>
              </w:rPr>
              <w:t>قائمة الدخل</w:t>
            </w:r>
          </w:p>
        </w:tc>
        <w:tc>
          <w:tcPr>
            <w:tcW w:type="dxa" w:w="6260"/>
          </w:tcPr>
          <w:p>
            <w:pPr>
              <w:jc w:val="right"/>
              <w:bidi w:val="1"/>
            </w:pPr>
            <w:r>
              <w:rPr>
                <w:rFonts w:ascii="Arial" w:hAnsi="Arial" w:cs="Arial"/>
                <w:b w:val="0"/>
                <w:color w:val="000000"/>
                <w:sz w:val="19"/>
                <w:rtl w:val="1"/>
              </w:rPr>
              <w:t>متابعة الإيرادات والمصروفات ونتيجة النشاط.</w:t>
            </w:r>
          </w:p>
        </w:tc>
      </w:tr>
      <w:tr>
        <w:tc>
          <w:tcPr>
            <w:tcW w:type="dxa" w:w="3100"/>
          </w:tcPr>
          <w:p>
            <w:pPr>
              <w:jc w:val="right"/>
              <w:bidi w:val="1"/>
            </w:pPr>
            <w:r>
              <w:rPr>
                <w:rFonts w:ascii="Arial" w:hAnsi="Arial" w:cs="Arial"/>
                <w:b w:val="0"/>
                <w:color w:val="000000"/>
                <w:sz w:val="19"/>
                <w:rtl w:val="1"/>
              </w:rPr>
              <w:t>قائمة المركز المالي</w:t>
            </w:r>
          </w:p>
        </w:tc>
        <w:tc>
          <w:tcPr>
            <w:tcW w:type="dxa" w:w="6260"/>
          </w:tcPr>
          <w:p>
            <w:pPr>
              <w:jc w:val="right"/>
              <w:bidi w:val="1"/>
            </w:pPr>
            <w:r>
              <w:rPr>
                <w:rFonts w:ascii="Arial" w:hAnsi="Arial" w:cs="Arial"/>
                <w:b w:val="0"/>
                <w:color w:val="000000"/>
                <w:sz w:val="19"/>
                <w:rtl w:val="1"/>
              </w:rPr>
              <w:t>عرض وضع الأصول والالتزامات وحقوق الملكية.</w:t>
            </w:r>
          </w:p>
        </w:tc>
      </w:tr>
      <w:tr>
        <w:tc>
          <w:tcPr>
            <w:tcW w:type="dxa" w:w="3100"/>
          </w:tcPr>
          <w:p>
            <w:pPr>
              <w:jc w:val="right"/>
              <w:bidi w:val="1"/>
            </w:pPr>
            <w:r>
              <w:rPr>
                <w:rFonts w:ascii="Arial" w:hAnsi="Arial" w:cs="Arial"/>
                <w:b w:val="0"/>
                <w:color w:val="000000"/>
                <w:sz w:val="19"/>
                <w:rtl w:val="1"/>
              </w:rPr>
              <w:t>التدفقات النقدية</w:t>
            </w:r>
          </w:p>
        </w:tc>
        <w:tc>
          <w:tcPr>
            <w:tcW w:type="dxa" w:w="6260"/>
          </w:tcPr>
          <w:p>
            <w:pPr>
              <w:jc w:val="right"/>
              <w:bidi w:val="1"/>
            </w:pPr>
            <w:r>
              <w:rPr>
                <w:rFonts w:ascii="Arial" w:hAnsi="Arial" w:cs="Arial"/>
                <w:b w:val="0"/>
                <w:color w:val="000000"/>
                <w:sz w:val="19"/>
                <w:rtl w:val="1"/>
              </w:rPr>
              <w:t>متابعة دخول وخروج النقدية.</w:t>
            </w:r>
          </w:p>
        </w:tc>
      </w:tr>
      <w:tr>
        <w:tc>
          <w:tcPr>
            <w:tcW w:type="dxa" w:w="3100"/>
          </w:tcPr>
          <w:p>
            <w:pPr>
              <w:jc w:val="right"/>
              <w:bidi w:val="1"/>
            </w:pPr>
            <w:r>
              <w:rPr>
                <w:rFonts w:ascii="Arial" w:hAnsi="Arial" w:cs="Arial"/>
                <w:b w:val="0"/>
                <w:color w:val="000000"/>
                <w:sz w:val="19"/>
                <w:rtl w:val="1"/>
              </w:rPr>
              <w:t>أرصدة مراكز التكلفة</w:t>
            </w:r>
          </w:p>
        </w:tc>
        <w:tc>
          <w:tcPr>
            <w:tcW w:type="dxa" w:w="6260"/>
          </w:tcPr>
          <w:p>
            <w:pPr>
              <w:jc w:val="right"/>
              <w:bidi w:val="1"/>
            </w:pPr>
            <w:r>
              <w:rPr>
                <w:rFonts w:ascii="Arial" w:hAnsi="Arial" w:cs="Arial"/>
                <w:b w:val="0"/>
                <w:color w:val="000000"/>
                <w:sz w:val="19"/>
                <w:rtl w:val="1"/>
              </w:rPr>
              <w:t>متابعة نتائج الفروع أو المشاريع أو الأنشطة.</w:t>
            </w:r>
          </w:p>
        </w:tc>
      </w:tr>
    </w:tbl>
    <w:p/>
    <w:p>
      <w:pPr>
        <w:pStyle w:val="Heading2"/>
        <w:spacing w:before="200" w:after="100"/>
        <w:jc w:val="right"/>
        <w:bidi w:val="1"/>
      </w:pPr>
      <w:r>
        <w:rPr>
          <w:rFonts w:ascii="Arial" w:hAnsi="Arial" w:cs="Arial"/>
          <w:b/>
          <w:color w:val="1F4D78"/>
          <w:sz w:val="27"/>
          <w:rtl w:val="1"/>
        </w:rPr>
        <w:t>4.5 كيف يرتبط نظام الحسابات بالمبيعات؟</w:t>
      </w:r>
    </w:p>
    <w:tbl>
      <w:tblPr>
        <w:tblW w:type="dxa" w:w="9360"/>
        <w:jc w:val="right"/>
        <w:tblLook w:firstColumn="1" w:firstRow="1" w:lastColumn="0" w:lastRow="0" w:noHBand="0" w:noVBand="1" w:val="04A0"/>
        <w:tblInd w:w="120" w:type="dxa"/>
        <w:tblLayout w:type="fixed"/>
      </w:tblPr>
      <w:tblGrid>
        <w:gridCol w:w="3100"/>
        <w:gridCol w:w="6260"/>
      </w:tblGrid>
      <w:tr>
        <w:tc>
          <w:tcPr>
            <w:tcW w:type="dxa" w:w="310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العملية داخل CPOS</w:t>
            </w:r>
          </w:p>
        </w:tc>
        <w:tc>
          <w:tcPr>
            <w:tcW w:type="dxa" w:w="626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الأثر المحاسبي المتوقع</w:t>
            </w:r>
          </w:p>
        </w:tc>
      </w:tr>
      <w:tr>
        <w:tc>
          <w:tcPr>
            <w:tcW w:type="dxa" w:w="3100"/>
          </w:tcPr>
          <w:p>
            <w:pPr>
              <w:jc w:val="right"/>
              <w:bidi w:val="1"/>
            </w:pPr>
            <w:r>
              <w:rPr>
                <w:rFonts w:ascii="Arial" w:hAnsi="Arial" w:cs="Arial"/>
                <w:b w:val="0"/>
                <w:color w:val="000000"/>
                <w:sz w:val="19"/>
                <w:rtl w:val="1"/>
              </w:rPr>
              <w:t>بيع نقدي</w:t>
            </w:r>
          </w:p>
        </w:tc>
        <w:tc>
          <w:tcPr>
            <w:tcW w:type="dxa" w:w="6260"/>
          </w:tcPr>
          <w:p>
            <w:pPr>
              <w:jc w:val="right"/>
              <w:bidi w:val="1"/>
            </w:pPr>
            <w:r>
              <w:rPr>
                <w:rFonts w:ascii="Arial" w:hAnsi="Arial" w:cs="Arial"/>
                <w:b w:val="0"/>
                <w:color w:val="000000"/>
                <w:sz w:val="19"/>
                <w:rtl w:val="1"/>
              </w:rPr>
              <w:t>يرتبط بحساب الصندوق أو الخزينة وبحساب المبيعات.</w:t>
            </w:r>
          </w:p>
        </w:tc>
      </w:tr>
      <w:tr>
        <w:tc>
          <w:tcPr>
            <w:tcW w:type="dxa" w:w="3100"/>
          </w:tcPr>
          <w:p>
            <w:pPr>
              <w:jc w:val="right"/>
              <w:bidi w:val="1"/>
            </w:pPr>
            <w:r>
              <w:rPr>
                <w:rFonts w:ascii="Arial" w:hAnsi="Arial" w:cs="Arial"/>
                <w:b w:val="0"/>
                <w:color w:val="000000"/>
                <w:sz w:val="19"/>
                <w:rtl w:val="1"/>
              </w:rPr>
              <w:t>بيع آجل</w:t>
            </w:r>
          </w:p>
        </w:tc>
        <w:tc>
          <w:tcPr>
            <w:tcW w:type="dxa" w:w="6260"/>
          </w:tcPr>
          <w:p>
            <w:pPr>
              <w:jc w:val="right"/>
              <w:bidi w:val="1"/>
            </w:pPr>
            <w:r>
              <w:rPr>
                <w:rFonts w:ascii="Arial" w:hAnsi="Arial" w:cs="Arial"/>
                <w:b w:val="0"/>
                <w:color w:val="000000"/>
                <w:sz w:val="19"/>
                <w:rtl w:val="1"/>
              </w:rPr>
              <w:t>يرتبط بحساب العميل وحساب المبيعات، فتظهر المديونية بوضوح.</w:t>
            </w:r>
          </w:p>
        </w:tc>
      </w:tr>
      <w:tr>
        <w:tc>
          <w:tcPr>
            <w:tcW w:type="dxa" w:w="3100"/>
          </w:tcPr>
          <w:p>
            <w:pPr>
              <w:jc w:val="right"/>
              <w:bidi w:val="1"/>
            </w:pPr>
            <w:r>
              <w:rPr>
                <w:rFonts w:ascii="Arial" w:hAnsi="Arial" w:cs="Arial"/>
                <w:b w:val="0"/>
                <w:color w:val="000000"/>
                <w:sz w:val="19"/>
                <w:rtl w:val="1"/>
              </w:rPr>
              <w:t>شراء من مورد</w:t>
            </w:r>
          </w:p>
        </w:tc>
        <w:tc>
          <w:tcPr>
            <w:tcW w:type="dxa" w:w="6260"/>
          </w:tcPr>
          <w:p>
            <w:pPr>
              <w:jc w:val="right"/>
              <w:bidi w:val="1"/>
            </w:pPr>
            <w:r>
              <w:rPr>
                <w:rFonts w:ascii="Arial" w:hAnsi="Arial" w:cs="Arial"/>
                <w:b w:val="0"/>
                <w:color w:val="000000"/>
                <w:sz w:val="19"/>
                <w:rtl w:val="1"/>
              </w:rPr>
              <w:t>يرتبط بحساب المورد أو النقدية وبحساب المخزون أو المصروفات المرتبطة بالشراء.</w:t>
            </w:r>
          </w:p>
        </w:tc>
      </w:tr>
      <w:tr>
        <w:tc>
          <w:tcPr>
            <w:tcW w:type="dxa" w:w="3100"/>
          </w:tcPr>
          <w:p>
            <w:pPr>
              <w:jc w:val="right"/>
              <w:bidi w:val="1"/>
            </w:pPr>
            <w:r>
              <w:rPr>
                <w:rFonts w:ascii="Arial" w:hAnsi="Arial" w:cs="Arial"/>
                <w:b w:val="0"/>
                <w:color w:val="000000"/>
                <w:sz w:val="19"/>
                <w:rtl w:val="1"/>
              </w:rPr>
              <w:t>سند قبض</w:t>
            </w:r>
          </w:p>
        </w:tc>
        <w:tc>
          <w:tcPr>
            <w:tcW w:type="dxa" w:w="6260"/>
          </w:tcPr>
          <w:p>
            <w:pPr>
              <w:jc w:val="right"/>
              <w:bidi w:val="1"/>
            </w:pPr>
            <w:r>
              <w:rPr>
                <w:rFonts w:ascii="Arial" w:hAnsi="Arial" w:cs="Arial"/>
                <w:b w:val="0"/>
                <w:color w:val="000000"/>
                <w:sz w:val="19"/>
                <w:rtl w:val="1"/>
              </w:rPr>
              <w:t>يربط التحصيل بحساب العميل أو الحساب المعني وبالخزينة.</w:t>
            </w:r>
          </w:p>
        </w:tc>
      </w:tr>
      <w:tr>
        <w:tc>
          <w:tcPr>
            <w:tcW w:type="dxa" w:w="3100"/>
          </w:tcPr>
          <w:p>
            <w:pPr>
              <w:jc w:val="right"/>
              <w:bidi w:val="1"/>
            </w:pPr>
            <w:r>
              <w:rPr>
                <w:rFonts w:ascii="Arial" w:hAnsi="Arial" w:cs="Arial"/>
                <w:b w:val="0"/>
                <w:color w:val="000000"/>
                <w:sz w:val="19"/>
                <w:rtl w:val="1"/>
              </w:rPr>
              <w:t>سند صرف</w:t>
            </w:r>
          </w:p>
        </w:tc>
        <w:tc>
          <w:tcPr>
            <w:tcW w:type="dxa" w:w="6260"/>
          </w:tcPr>
          <w:p>
            <w:pPr>
              <w:jc w:val="right"/>
              <w:bidi w:val="1"/>
            </w:pPr>
            <w:r>
              <w:rPr>
                <w:rFonts w:ascii="Arial" w:hAnsi="Arial" w:cs="Arial"/>
                <w:b w:val="0"/>
                <w:color w:val="000000"/>
                <w:sz w:val="19"/>
                <w:rtl w:val="1"/>
              </w:rPr>
              <w:t>يربط الصرف بحساب المورد أو المصروف أو الحساب المعني وبالخزينة.</w:t>
            </w:r>
          </w:p>
        </w:tc>
      </w:tr>
      <w:tr>
        <w:tc>
          <w:tcPr>
            <w:tcW w:type="dxa" w:w="3100"/>
          </w:tcPr>
          <w:p>
            <w:pPr>
              <w:jc w:val="right"/>
              <w:bidi w:val="1"/>
            </w:pPr>
            <w:r>
              <w:rPr>
                <w:rFonts w:ascii="Arial" w:hAnsi="Arial" w:cs="Arial"/>
                <w:b w:val="0"/>
                <w:color w:val="000000"/>
                <w:sz w:val="19"/>
                <w:rtl w:val="1"/>
              </w:rPr>
              <w:t>مصروفات</w:t>
            </w:r>
          </w:p>
        </w:tc>
        <w:tc>
          <w:tcPr>
            <w:tcW w:type="dxa" w:w="6260"/>
          </w:tcPr>
          <w:p>
            <w:pPr>
              <w:jc w:val="right"/>
              <w:bidi w:val="1"/>
            </w:pPr>
            <w:r>
              <w:rPr>
                <w:rFonts w:ascii="Arial" w:hAnsi="Arial" w:cs="Arial"/>
                <w:b w:val="0"/>
                <w:color w:val="000000"/>
                <w:sz w:val="19"/>
                <w:rtl w:val="1"/>
              </w:rPr>
              <w:t>تربط المصروف بحسابه المناسب لتظهر في التقارير المالية.</w:t>
            </w:r>
          </w:p>
        </w:tc>
      </w:tr>
      <w:tr>
        <w:tc>
          <w:tcPr>
            <w:tcW w:type="dxa" w:w="3100"/>
          </w:tcPr>
          <w:p>
            <w:pPr>
              <w:jc w:val="right"/>
              <w:bidi w:val="1"/>
            </w:pPr>
            <w:r>
              <w:rPr>
                <w:rFonts w:ascii="Arial" w:hAnsi="Arial" w:cs="Arial"/>
                <w:b w:val="0"/>
                <w:color w:val="000000"/>
                <w:sz w:val="19"/>
                <w:rtl w:val="1"/>
              </w:rPr>
              <w:t>مراكز تكلفة</w:t>
            </w:r>
          </w:p>
        </w:tc>
        <w:tc>
          <w:tcPr>
            <w:tcW w:type="dxa" w:w="6260"/>
          </w:tcPr>
          <w:p>
            <w:pPr>
              <w:jc w:val="right"/>
              <w:bidi w:val="1"/>
            </w:pPr>
            <w:r>
              <w:rPr>
                <w:rFonts w:ascii="Arial" w:hAnsi="Arial" w:cs="Arial"/>
                <w:b w:val="0"/>
                <w:color w:val="000000"/>
                <w:sz w:val="19"/>
                <w:rtl w:val="1"/>
              </w:rPr>
              <w:t>تساعد على معرفة تكلفة فرع أو مشروع أو نشاط معين.</w:t>
            </w:r>
          </w:p>
        </w:tc>
      </w:tr>
    </w:tbl>
    <w:p/>
    <w:tbl>
      <w:tblPr>
        <w:tblW w:type="dxa" w:w="9360"/>
        <w:jc w:val="right"/>
        <w:tblLook w:firstColumn="1" w:firstRow="1" w:lastColumn="0" w:lastRow="0" w:noHBand="0" w:noVBand="1" w:val="04A0"/>
        <w:tblInd w:w="120" w:type="dxa"/>
        <w:tblLayout w:type="fixed"/>
      </w:tblPr>
      <w:tblGrid>
        <w:gridCol w:w="9360"/>
      </w:tblGrid>
      <w:tr>
        <w:tc>
          <w:tcPr>
            <w:tcW w:type="dxa" w:w="9360"/>
            <w:vAlign w:val="center"/>
            <w:tcMar>
              <w:top w:w="100" w:type="dxa"/>
              <w:start w:w="140" w:type="dxa"/>
              <w:bottom w:w="100" w:type="dxa"/>
              <w:end w:w="140" w:type="dxa"/>
            </w:tcMar>
            <w:shd w:fill="FFF4D6"/>
          </w:tcPr>
          <w:p>
            <w:pPr>
              <w:spacing w:after="0"/>
              <w:jc w:val="right"/>
              <w:bidi w:val="1"/>
            </w:pPr>
            <w:r>
              <w:rPr>
                <w:rFonts w:ascii="Arial" w:hAnsi="Arial" w:cs="Arial"/>
                <w:b/>
                <w:color w:val="0B2545"/>
                <w:sz w:val="25"/>
                <w:rtl w:val="1"/>
              </w:rPr>
              <w:t>رسالة مهمة للعميل</w:t>
            </w:r>
            <w:r>
              <w:rPr>
                <w:rtl w:val="1"/>
              </w:rPr>
              <w:br/>
            </w:r>
            <w:r>
              <w:rPr>
                <w:rFonts w:ascii="Arial" w:hAnsi="Arial" w:cs="Arial"/>
                <w:b w:val="0"/>
                <w:color w:val="000000"/>
                <w:sz w:val="21"/>
                <w:rtl w:val="1"/>
              </w:rPr>
              <w:t>CPOS لا يقدم مبيعات ومخزون فقط؛ بل يقدم معها نظام حسابات يساعد على تنظيم الدليل الحسابي والقيود والسندات والتقارير المالية في نفس بيئة العمل.</w:t>
            </w:r>
          </w:p>
        </w:tc>
      </w:tr>
    </w:tbl>
    <w:p/>
    <w:p>
      <w:pPr>
        <w:pStyle w:val="Heading1"/>
        <w:spacing w:before="320" w:after="140"/>
        <w:jc w:val="right"/>
        <w:bidi w:val="1"/>
      </w:pPr>
      <w:r>
        <w:rPr>
          <w:rFonts w:ascii="Arial" w:hAnsi="Arial" w:cs="Arial"/>
          <w:b/>
          <w:color w:val="2E74B5"/>
          <w:sz w:val="34"/>
          <w:rtl w:val="1"/>
        </w:rPr>
        <w:t>5. تجربة يوم عمل داخل النظام</w:t>
      </w:r>
    </w:p>
    <w:p>
      <w:pPr>
        <w:spacing w:before="0" w:after="140" w:line="288" w:lineRule="auto"/>
        <w:jc w:val="right"/>
        <w:bidi w:val="1"/>
      </w:pPr>
      <w:r>
        <w:rPr>
          <w:rFonts w:ascii="Arial" w:hAnsi="Arial" w:cs="Arial"/>
          <w:b w:val="0"/>
          <w:color w:val="000000"/>
          <w:sz w:val="22"/>
          <w:rtl w:val="1"/>
        </w:rPr>
        <w:t>يمكن تصور يوم العمل داخل CPOS بشكل بسيط وواضح:</w:t>
      </w:r>
    </w:p>
    <w:p>
      <w:pPr>
        <w:pStyle w:val="ListBullet"/>
        <w:spacing w:after="80" w:line="276" w:lineRule="auto"/>
        <w:jc w:val="right"/>
        <w:bidi w:val="1"/>
      </w:pPr>
      <w:r>
        <w:rPr>
          <w:rFonts w:ascii="Arial" w:hAnsi="Arial" w:cs="Arial"/>
          <w:b w:val="0"/>
          <w:color w:val="000000"/>
          <w:sz w:val="21"/>
          <w:rtl w:val="1"/>
        </w:rPr>
        <w:t>يفتح الموظف النظام بصلاحياته المحددة.</w:t>
      </w:r>
    </w:p>
    <w:p>
      <w:pPr>
        <w:pStyle w:val="ListBullet"/>
        <w:spacing w:after="80" w:line="276" w:lineRule="auto"/>
        <w:jc w:val="right"/>
        <w:bidi w:val="1"/>
      </w:pPr>
      <w:r>
        <w:rPr>
          <w:rFonts w:ascii="Arial" w:hAnsi="Arial" w:cs="Arial"/>
          <w:b w:val="0"/>
          <w:color w:val="000000"/>
          <w:sz w:val="21"/>
          <w:rtl w:val="1"/>
        </w:rPr>
        <w:t>يتم إصدار فواتير البيع أو إدخال فواتير الشراء حسب الحاجة.</w:t>
      </w:r>
    </w:p>
    <w:p>
      <w:pPr>
        <w:pStyle w:val="ListBullet"/>
        <w:spacing w:after="80" w:line="276" w:lineRule="auto"/>
        <w:jc w:val="right"/>
        <w:bidi w:val="1"/>
      </w:pPr>
      <w:r>
        <w:rPr>
          <w:rFonts w:ascii="Arial" w:hAnsi="Arial" w:cs="Arial"/>
          <w:b w:val="0"/>
          <w:color w:val="000000"/>
          <w:sz w:val="21"/>
          <w:rtl w:val="1"/>
        </w:rPr>
        <w:t>ينعكس أثر الفواتير على المخزون والحسابات.</w:t>
      </w:r>
    </w:p>
    <w:p>
      <w:pPr>
        <w:pStyle w:val="ListBullet"/>
        <w:spacing w:after="80" w:line="276" w:lineRule="auto"/>
        <w:jc w:val="right"/>
        <w:bidi w:val="1"/>
      </w:pPr>
      <w:r>
        <w:rPr>
          <w:rFonts w:ascii="Arial" w:hAnsi="Arial" w:cs="Arial"/>
          <w:b w:val="0"/>
          <w:color w:val="000000"/>
          <w:sz w:val="21"/>
          <w:rtl w:val="1"/>
        </w:rPr>
        <w:t>تظهر التنبيهات المهمة مثل الفواتير المفتوحة، نقص الكمية، الديون، أو أصناف الصلاحية.</w:t>
      </w:r>
    </w:p>
    <w:p>
      <w:pPr>
        <w:pStyle w:val="ListBullet"/>
        <w:spacing w:after="80" w:line="276" w:lineRule="auto"/>
        <w:jc w:val="right"/>
        <w:bidi w:val="1"/>
      </w:pPr>
      <w:r>
        <w:rPr>
          <w:rFonts w:ascii="Arial" w:hAnsi="Arial" w:cs="Arial"/>
          <w:b w:val="0"/>
          <w:color w:val="000000"/>
          <w:sz w:val="21"/>
          <w:rtl w:val="1"/>
        </w:rPr>
        <w:t>تراجع الإدارة التقارير والخزينة والحسابات في نهاية اليوم.</w:t>
      </w:r>
    </w:p>
    <w:p>
      <w:pPr>
        <w:pStyle w:val="Heading1"/>
        <w:spacing w:before="320" w:after="140"/>
        <w:jc w:val="right"/>
        <w:bidi w:val="1"/>
      </w:pPr>
      <w:r>
        <w:rPr>
          <w:rFonts w:ascii="Arial" w:hAnsi="Arial" w:cs="Arial"/>
          <w:b/>
          <w:color w:val="2E74B5"/>
          <w:sz w:val="34"/>
          <w:rtl w:val="1"/>
        </w:rPr>
        <w:t>6. التنبيهات والمتابعة</w:t>
      </w:r>
    </w:p>
    <w:p>
      <w:pPr>
        <w:spacing w:before="0" w:after="140" w:line="288" w:lineRule="auto"/>
        <w:jc w:val="right"/>
        <w:bidi w:val="1"/>
      </w:pPr>
      <w:r>
        <w:rPr>
          <w:rFonts w:ascii="Arial" w:hAnsi="Arial" w:cs="Arial"/>
          <w:b w:val="0"/>
          <w:color w:val="000000"/>
          <w:sz w:val="22"/>
          <w:rtl w:val="1"/>
        </w:rPr>
        <w:t>يوفر النظام لوحة تنبيهات تساعد الإدارة على متابعة الأمور التي تحتاج انتباهًا قبل أن تتحول إلى مشكلة.</w:t>
      </w:r>
    </w:p>
    <w:tbl>
      <w:tblPr>
        <w:tblW w:type="dxa" w:w="9360"/>
        <w:jc w:val="right"/>
        <w:tblLook w:firstColumn="1" w:firstRow="1" w:lastColumn="0" w:lastRow="0" w:noHBand="0" w:noVBand="1" w:val="04A0"/>
        <w:tblInd w:w="120" w:type="dxa"/>
        <w:tblLayout w:type="fixed"/>
      </w:tblPr>
      <w:tblGrid>
        <w:gridCol w:w="3000"/>
        <w:gridCol w:w="6360"/>
      </w:tblGrid>
      <w:tr>
        <w:tc>
          <w:tcPr>
            <w:tcW w:type="dxa" w:w="300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التنبيه</w:t>
            </w:r>
          </w:p>
        </w:tc>
        <w:tc>
          <w:tcPr>
            <w:tcW w:type="dxa" w:w="636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الفائدة للعميل</w:t>
            </w:r>
          </w:p>
        </w:tc>
      </w:tr>
      <w:tr>
        <w:tc>
          <w:tcPr>
            <w:tcW w:type="dxa" w:w="3000"/>
          </w:tcPr>
          <w:p>
            <w:pPr>
              <w:jc w:val="right"/>
              <w:bidi w:val="1"/>
            </w:pPr>
            <w:r>
              <w:rPr>
                <w:rFonts w:ascii="Arial" w:hAnsi="Arial" w:cs="Arial"/>
                <w:b w:val="0"/>
                <w:color w:val="000000"/>
                <w:sz w:val="19"/>
                <w:rtl w:val="1"/>
              </w:rPr>
              <w:t>وردية مفتوحة</w:t>
            </w:r>
          </w:p>
        </w:tc>
        <w:tc>
          <w:tcPr>
            <w:tcW w:type="dxa" w:w="6360"/>
          </w:tcPr>
          <w:p>
            <w:pPr>
              <w:jc w:val="right"/>
              <w:bidi w:val="1"/>
            </w:pPr>
            <w:r>
              <w:rPr>
                <w:rFonts w:ascii="Arial" w:hAnsi="Arial" w:cs="Arial"/>
                <w:b w:val="0"/>
                <w:color w:val="000000"/>
                <w:sz w:val="19"/>
                <w:rtl w:val="1"/>
              </w:rPr>
              <w:t>تذكير بوجود ورديات لم تغلق بعد.</w:t>
            </w:r>
          </w:p>
        </w:tc>
      </w:tr>
      <w:tr>
        <w:tc>
          <w:tcPr>
            <w:tcW w:type="dxa" w:w="3000"/>
          </w:tcPr>
          <w:p>
            <w:pPr>
              <w:jc w:val="right"/>
              <w:bidi w:val="1"/>
            </w:pPr>
            <w:r>
              <w:rPr>
                <w:rFonts w:ascii="Arial" w:hAnsi="Arial" w:cs="Arial"/>
                <w:b w:val="0"/>
                <w:color w:val="000000"/>
                <w:sz w:val="19"/>
                <w:rtl w:val="1"/>
              </w:rPr>
              <w:t>ديون العملاء</w:t>
            </w:r>
          </w:p>
        </w:tc>
        <w:tc>
          <w:tcPr>
            <w:tcW w:type="dxa" w:w="6360"/>
          </w:tcPr>
          <w:p>
            <w:pPr>
              <w:jc w:val="right"/>
              <w:bidi w:val="1"/>
            </w:pPr>
            <w:r>
              <w:rPr>
                <w:rFonts w:ascii="Arial" w:hAnsi="Arial" w:cs="Arial"/>
                <w:b w:val="0"/>
                <w:color w:val="000000"/>
                <w:sz w:val="19"/>
                <w:rtl w:val="1"/>
              </w:rPr>
              <w:t>متابعة العملاء الذين تجاوزوا حدود المديونية.</w:t>
            </w:r>
          </w:p>
        </w:tc>
      </w:tr>
      <w:tr>
        <w:tc>
          <w:tcPr>
            <w:tcW w:type="dxa" w:w="3000"/>
          </w:tcPr>
          <w:p>
            <w:pPr>
              <w:jc w:val="right"/>
              <w:bidi w:val="1"/>
            </w:pPr>
            <w:r>
              <w:rPr>
                <w:rFonts w:ascii="Arial" w:hAnsi="Arial" w:cs="Arial"/>
                <w:b w:val="0"/>
                <w:color w:val="000000"/>
                <w:sz w:val="19"/>
                <w:rtl w:val="1"/>
              </w:rPr>
              <w:t>صلاحية الأصناف</w:t>
            </w:r>
          </w:p>
        </w:tc>
        <w:tc>
          <w:tcPr>
            <w:tcW w:type="dxa" w:w="6360"/>
          </w:tcPr>
          <w:p>
            <w:pPr>
              <w:jc w:val="right"/>
              <w:bidi w:val="1"/>
            </w:pPr>
            <w:r>
              <w:rPr>
                <w:rFonts w:ascii="Arial" w:hAnsi="Arial" w:cs="Arial"/>
                <w:b w:val="0"/>
                <w:color w:val="000000"/>
                <w:sz w:val="19"/>
                <w:rtl w:val="1"/>
              </w:rPr>
              <w:t>تنبيه بالأصناف القريبة من انتهاء الصلاحية.</w:t>
            </w:r>
          </w:p>
        </w:tc>
      </w:tr>
      <w:tr>
        <w:tc>
          <w:tcPr>
            <w:tcW w:type="dxa" w:w="3000"/>
          </w:tcPr>
          <w:p>
            <w:pPr>
              <w:jc w:val="right"/>
              <w:bidi w:val="1"/>
            </w:pPr>
            <w:r>
              <w:rPr>
                <w:rFonts w:ascii="Arial" w:hAnsi="Arial" w:cs="Arial"/>
                <w:b w:val="0"/>
                <w:color w:val="000000"/>
                <w:sz w:val="19"/>
                <w:rtl w:val="1"/>
              </w:rPr>
              <w:t>نقص أو زيادة الكمية</w:t>
            </w:r>
          </w:p>
        </w:tc>
        <w:tc>
          <w:tcPr>
            <w:tcW w:type="dxa" w:w="6360"/>
          </w:tcPr>
          <w:p>
            <w:pPr>
              <w:jc w:val="right"/>
              <w:bidi w:val="1"/>
            </w:pPr>
            <w:r>
              <w:rPr>
                <w:rFonts w:ascii="Arial" w:hAnsi="Arial" w:cs="Arial"/>
                <w:b w:val="0"/>
                <w:color w:val="000000"/>
                <w:sz w:val="19"/>
                <w:rtl w:val="1"/>
              </w:rPr>
              <w:t>متابعة الأصناف التي وصلت إلى حد أدنى أو أعلى.</w:t>
            </w:r>
          </w:p>
        </w:tc>
      </w:tr>
      <w:tr>
        <w:tc>
          <w:tcPr>
            <w:tcW w:type="dxa" w:w="3000"/>
          </w:tcPr>
          <w:p>
            <w:pPr>
              <w:jc w:val="right"/>
              <w:bidi w:val="1"/>
            </w:pPr>
            <w:r>
              <w:rPr>
                <w:rFonts w:ascii="Arial" w:hAnsi="Arial" w:cs="Arial"/>
                <w:b w:val="0"/>
                <w:color w:val="000000"/>
                <w:sz w:val="19"/>
                <w:rtl w:val="1"/>
              </w:rPr>
              <w:t>فواتير مفتوحة</w:t>
            </w:r>
          </w:p>
        </w:tc>
        <w:tc>
          <w:tcPr>
            <w:tcW w:type="dxa" w:w="6360"/>
          </w:tcPr>
          <w:p>
            <w:pPr>
              <w:jc w:val="right"/>
              <w:bidi w:val="1"/>
            </w:pPr>
            <w:r>
              <w:rPr>
                <w:rFonts w:ascii="Arial" w:hAnsi="Arial" w:cs="Arial"/>
                <w:b w:val="0"/>
                <w:color w:val="000000"/>
                <w:sz w:val="19"/>
                <w:rtl w:val="1"/>
              </w:rPr>
              <w:t>إظهار الفواتير غير المكتملة أو التي تحتاج مراجعة.</w:t>
            </w:r>
          </w:p>
        </w:tc>
      </w:tr>
      <w:tr>
        <w:tc>
          <w:tcPr>
            <w:tcW w:type="dxa" w:w="3000"/>
          </w:tcPr>
          <w:p>
            <w:pPr>
              <w:jc w:val="right"/>
              <w:bidi w:val="1"/>
            </w:pPr>
            <w:r>
              <w:rPr>
                <w:rFonts w:ascii="Arial" w:hAnsi="Arial" w:cs="Arial"/>
                <w:b w:val="0"/>
                <w:color w:val="000000"/>
                <w:sz w:val="19"/>
                <w:rtl w:val="1"/>
              </w:rPr>
              <w:t>بيع أقل من التكلفة</w:t>
            </w:r>
          </w:p>
        </w:tc>
        <w:tc>
          <w:tcPr>
            <w:tcW w:type="dxa" w:w="6360"/>
          </w:tcPr>
          <w:p>
            <w:pPr>
              <w:jc w:val="right"/>
              <w:bidi w:val="1"/>
            </w:pPr>
            <w:r>
              <w:rPr>
                <w:rFonts w:ascii="Arial" w:hAnsi="Arial" w:cs="Arial"/>
                <w:b w:val="0"/>
                <w:color w:val="000000"/>
                <w:sz w:val="19"/>
                <w:rtl w:val="1"/>
              </w:rPr>
              <w:t>تنبيه عند وجود بيع قد يسبب خسارة، حسب إعدادات النظام.</w:t>
            </w:r>
          </w:p>
        </w:tc>
      </w:tr>
    </w:tbl>
    <w:p/>
    <w:p>
      <w:pPr>
        <w:pStyle w:val="Heading1"/>
        <w:spacing w:before="320" w:after="140"/>
        <w:jc w:val="right"/>
        <w:bidi w:val="1"/>
      </w:pPr>
      <w:r>
        <w:rPr>
          <w:rFonts w:ascii="Arial" w:hAnsi="Arial" w:cs="Arial"/>
          <w:b/>
          <w:color w:val="2E74B5"/>
          <w:sz w:val="34"/>
          <w:rtl w:val="1"/>
        </w:rPr>
        <w:t>7. الصلاحيات وحماية العمل</w:t>
      </w:r>
    </w:p>
    <w:p>
      <w:pPr>
        <w:spacing w:before="0" w:after="140" w:line="288" w:lineRule="auto"/>
        <w:jc w:val="right"/>
        <w:bidi w:val="1"/>
      </w:pPr>
      <w:r>
        <w:rPr>
          <w:rFonts w:ascii="Arial" w:hAnsi="Arial" w:cs="Arial"/>
          <w:b w:val="0"/>
          <w:color w:val="000000"/>
          <w:sz w:val="22"/>
          <w:rtl w:val="1"/>
        </w:rPr>
        <w:t>كل مستخدم يمكن أن تكون له صلاحيات مختلفة. هذا مهم جدًا للمنشآت التي لديها أكثر من موظف أو أكثر من نقطة بيع.</w:t>
      </w:r>
    </w:p>
    <w:p>
      <w:pPr>
        <w:pStyle w:val="ListBullet"/>
        <w:spacing w:after="80" w:line="276" w:lineRule="auto"/>
        <w:jc w:val="right"/>
        <w:bidi w:val="1"/>
      </w:pPr>
      <w:r>
        <w:rPr>
          <w:rFonts w:ascii="Arial" w:hAnsi="Arial" w:cs="Arial"/>
          <w:b w:val="0"/>
          <w:color w:val="000000"/>
          <w:sz w:val="21"/>
          <w:rtl w:val="1"/>
        </w:rPr>
        <w:t>منع مستخدم من فتح شاشات لا تخص عمله.</w:t>
      </w:r>
    </w:p>
    <w:p>
      <w:pPr>
        <w:pStyle w:val="ListBullet"/>
        <w:spacing w:after="80" w:line="276" w:lineRule="auto"/>
        <w:jc w:val="right"/>
        <w:bidi w:val="1"/>
      </w:pPr>
      <w:r>
        <w:rPr>
          <w:rFonts w:ascii="Arial" w:hAnsi="Arial" w:cs="Arial"/>
          <w:b w:val="0"/>
          <w:color w:val="000000"/>
          <w:sz w:val="21"/>
          <w:rtl w:val="1"/>
        </w:rPr>
        <w:t>تحديد من يستطيع الإلغاء أو التعديل أو الخصم.</w:t>
      </w:r>
    </w:p>
    <w:p>
      <w:pPr>
        <w:pStyle w:val="ListBullet"/>
        <w:spacing w:after="80" w:line="276" w:lineRule="auto"/>
        <w:jc w:val="right"/>
        <w:bidi w:val="1"/>
      </w:pPr>
      <w:r>
        <w:rPr>
          <w:rFonts w:ascii="Arial" w:hAnsi="Arial" w:cs="Arial"/>
          <w:b w:val="0"/>
          <w:color w:val="000000"/>
          <w:sz w:val="21"/>
          <w:rtl w:val="1"/>
        </w:rPr>
        <w:t>تحديد من يرى التكلفة أو الأرباح أو الحسابات.</w:t>
      </w:r>
    </w:p>
    <w:p>
      <w:pPr>
        <w:pStyle w:val="ListBullet"/>
        <w:spacing w:after="80" w:line="276" w:lineRule="auto"/>
        <w:jc w:val="right"/>
        <w:bidi w:val="1"/>
      </w:pPr>
      <w:r>
        <w:rPr>
          <w:rFonts w:ascii="Arial" w:hAnsi="Arial" w:cs="Arial"/>
          <w:b w:val="0"/>
          <w:color w:val="000000"/>
          <w:sz w:val="21"/>
          <w:rtl w:val="1"/>
        </w:rPr>
        <w:t>منح صلاحيات للمبيعات أو المشتريات أو المخزون أو التقارير حسب الوظيفة.</w:t>
      </w:r>
    </w:p>
    <w:p>
      <w:pPr>
        <w:pStyle w:val="ListBullet"/>
        <w:spacing w:after="80" w:line="276" w:lineRule="auto"/>
        <w:jc w:val="right"/>
        <w:bidi w:val="1"/>
      </w:pPr>
      <w:r>
        <w:rPr>
          <w:rFonts w:ascii="Arial" w:hAnsi="Arial" w:cs="Arial"/>
          <w:b w:val="0"/>
          <w:color w:val="000000"/>
          <w:sz w:val="21"/>
          <w:rtl w:val="1"/>
        </w:rPr>
        <w:t>إدارة صلاحيات الحسابات لحماية البيانات المالية الحساسة.</w:t>
      </w:r>
    </w:p>
    <w:p>
      <w:pPr>
        <w:pStyle w:val="Heading1"/>
        <w:spacing w:before="320" w:after="140"/>
        <w:jc w:val="right"/>
        <w:bidi w:val="1"/>
      </w:pPr>
      <w:r>
        <w:rPr>
          <w:rFonts w:ascii="Arial" w:hAnsi="Arial" w:cs="Arial"/>
          <w:b/>
          <w:color w:val="2E74B5"/>
          <w:sz w:val="34"/>
          <w:rtl w:val="1"/>
        </w:rPr>
        <w:t>8. مناسب للمطاعم والمتاجر</w:t>
      </w:r>
    </w:p>
    <w:tbl>
      <w:tblPr>
        <w:tblW w:type="dxa" w:w="9360"/>
        <w:jc w:val="right"/>
        <w:tblLook w:firstColumn="1" w:firstRow="1" w:lastColumn="0" w:lastRow="0" w:noHBand="0" w:noVBand="1" w:val="04A0"/>
        <w:tblInd w:w="120" w:type="dxa"/>
        <w:tblLayout w:type="fixed"/>
      </w:tblPr>
      <w:tblGrid>
        <w:gridCol w:w="2800"/>
        <w:gridCol w:w="6560"/>
      </w:tblGrid>
      <w:tr>
        <w:tc>
          <w:tcPr>
            <w:tcW w:type="dxa" w:w="280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نوع النشاط</w:t>
            </w:r>
          </w:p>
        </w:tc>
        <w:tc>
          <w:tcPr>
            <w:tcW w:type="dxa" w:w="656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أمثلة على الخصائص المناسبة</w:t>
            </w:r>
          </w:p>
        </w:tc>
      </w:tr>
      <w:tr>
        <w:tc>
          <w:tcPr>
            <w:tcW w:type="dxa" w:w="2800"/>
          </w:tcPr>
          <w:p>
            <w:pPr>
              <w:jc w:val="right"/>
              <w:bidi w:val="1"/>
            </w:pPr>
            <w:r>
              <w:rPr>
                <w:rFonts w:ascii="Arial" w:hAnsi="Arial" w:cs="Arial"/>
                <w:b w:val="0"/>
                <w:color w:val="000000"/>
                <w:sz w:val="19"/>
                <w:rtl w:val="1"/>
              </w:rPr>
              <w:t>متجر أو سوبرماركت</w:t>
            </w:r>
          </w:p>
        </w:tc>
        <w:tc>
          <w:tcPr>
            <w:tcW w:type="dxa" w:w="6560"/>
          </w:tcPr>
          <w:p>
            <w:pPr>
              <w:jc w:val="right"/>
              <w:bidi w:val="1"/>
            </w:pPr>
            <w:r>
              <w:rPr>
                <w:rFonts w:ascii="Arial" w:hAnsi="Arial" w:cs="Arial"/>
                <w:b w:val="0"/>
                <w:color w:val="000000"/>
                <w:sz w:val="19"/>
                <w:rtl w:val="1"/>
              </w:rPr>
              <w:t>باركود، مخزون، أسعار، عروض، مبيعات سريعة، تقارير، جرد، وحسابات مرتبطة بالمبيعات.</w:t>
            </w:r>
          </w:p>
        </w:tc>
      </w:tr>
      <w:tr>
        <w:tc>
          <w:tcPr>
            <w:tcW w:type="dxa" w:w="2800"/>
          </w:tcPr>
          <w:p>
            <w:pPr>
              <w:jc w:val="right"/>
              <w:bidi w:val="1"/>
            </w:pPr>
            <w:r>
              <w:rPr>
                <w:rFonts w:ascii="Arial" w:hAnsi="Arial" w:cs="Arial"/>
                <w:b w:val="0"/>
                <w:color w:val="000000"/>
                <w:sz w:val="19"/>
                <w:rtl w:val="1"/>
              </w:rPr>
              <w:t>مطعم أو كافيه</w:t>
            </w:r>
          </w:p>
        </w:tc>
        <w:tc>
          <w:tcPr>
            <w:tcW w:type="dxa" w:w="6560"/>
          </w:tcPr>
          <w:p>
            <w:pPr>
              <w:jc w:val="right"/>
              <w:bidi w:val="1"/>
            </w:pPr>
            <w:r>
              <w:rPr>
                <w:rFonts w:ascii="Arial" w:hAnsi="Arial" w:cs="Arial"/>
                <w:b w:val="0"/>
                <w:color w:val="000000"/>
                <w:sz w:val="19"/>
                <w:rtl w:val="1"/>
              </w:rPr>
              <w:t>طاولات، طلبيات داخلية، طابعات فرعية، ورديات، فواتير سريعة، وتقارير يومية.</w:t>
            </w:r>
          </w:p>
        </w:tc>
      </w:tr>
      <w:tr>
        <w:tc>
          <w:tcPr>
            <w:tcW w:type="dxa" w:w="2800"/>
          </w:tcPr>
          <w:p>
            <w:pPr>
              <w:jc w:val="right"/>
              <w:bidi w:val="1"/>
            </w:pPr>
            <w:r>
              <w:rPr>
                <w:rFonts w:ascii="Arial" w:hAnsi="Arial" w:cs="Arial"/>
                <w:b w:val="0"/>
                <w:color w:val="000000"/>
                <w:sz w:val="19"/>
                <w:rtl w:val="1"/>
              </w:rPr>
              <w:t>مخزن أو توزيع</w:t>
            </w:r>
          </w:p>
        </w:tc>
        <w:tc>
          <w:tcPr>
            <w:tcW w:type="dxa" w:w="6560"/>
          </w:tcPr>
          <w:p>
            <w:pPr>
              <w:jc w:val="right"/>
              <w:bidi w:val="1"/>
            </w:pPr>
            <w:r>
              <w:rPr>
                <w:rFonts w:ascii="Arial" w:hAnsi="Arial" w:cs="Arial"/>
                <w:b w:val="0"/>
                <w:color w:val="000000"/>
                <w:sz w:val="19"/>
                <w:rtl w:val="1"/>
              </w:rPr>
              <w:t>تحويلات مخزنية، أوامر صرف واستلام، طلبيات قادمة، مناطق سفر ومسوقون عند التفعيل.</w:t>
            </w:r>
          </w:p>
        </w:tc>
      </w:tr>
    </w:tbl>
    <w:p/>
    <w:p>
      <w:pPr>
        <w:pStyle w:val="Heading1"/>
        <w:spacing w:before="320" w:after="140"/>
        <w:jc w:val="right"/>
        <w:bidi w:val="1"/>
      </w:pPr>
      <w:r>
        <w:rPr>
          <w:rFonts w:ascii="Arial" w:hAnsi="Arial" w:cs="Arial"/>
          <w:b/>
          <w:color w:val="2E74B5"/>
          <w:sz w:val="34"/>
          <w:rtl w:val="1"/>
        </w:rPr>
        <w:t>9. إدارة النظام بسهولة</w:t>
      </w:r>
    </w:p>
    <w:tbl>
      <w:tblPr>
        <w:tblW w:type="dxa" w:w="9360"/>
        <w:jc w:val="right"/>
        <w:tblLook w:firstColumn="1" w:firstRow="1" w:lastColumn="0" w:lastRow="0" w:noHBand="0" w:noVBand="1" w:val="04A0"/>
        <w:tblInd w:w="120" w:type="dxa"/>
        <w:tblLayout w:type="fixed"/>
      </w:tblPr>
      <w:tblGrid>
        <w:gridCol w:w="3000"/>
        <w:gridCol w:w="6360"/>
      </w:tblGrid>
      <w:tr>
        <w:tc>
          <w:tcPr>
            <w:tcW w:type="dxa" w:w="300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الخيار</w:t>
            </w:r>
          </w:p>
        </w:tc>
        <w:tc>
          <w:tcPr>
            <w:tcW w:type="dxa" w:w="636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ما فائدته للعميل؟</w:t>
            </w:r>
          </w:p>
        </w:tc>
      </w:tr>
      <w:tr>
        <w:tc>
          <w:tcPr>
            <w:tcW w:type="dxa" w:w="3000"/>
          </w:tcPr>
          <w:p>
            <w:pPr>
              <w:jc w:val="right"/>
              <w:bidi w:val="1"/>
            </w:pPr>
            <w:r>
              <w:rPr>
                <w:rFonts w:ascii="Arial" w:hAnsi="Arial" w:cs="Arial"/>
                <w:b w:val="0"/>
                <w:color w:val="000000"/>
                <w:sz w:val="19"/>
                <w:rtl w:val="1"/>
              </w:rPr>
              <w:t>إعدادات عامة</w:t>
            </w:r>
          </w:p>
        </w:tc>
        <w:tc>
          <w:tcPr>
            <w:tcW w:type="dxa" w:w="6360"/>
          </w:tcPr>
          <w:p>
            <w:pPr>
              <w:jc w:val="right"/>
              <w:bidi w:val="1"/>
            </w:pPr>
            <w:r>
              <w:rPr>
                <w:rFonts w:ascii="Arial" w:hAnsi="Arial" w:cs="Arial"/>
                <w:b w:val="0"/>
                <w:color w:val="000000"/>
                <w:sz w:val="19"/>
                <w:rtl w:val="1"/>
              </w:rPr>
              <w:t>ضبط سلوك الفواتير والخيارات الأساسية.</w:t>
            </w:r>
          </w:p>
        </w:tc>
      </w:tr>
      <w:tr>
        <w:tc>
          <w:tcPr>
            <w:tcW w:type="dxa" w:w="3000"/>
          </w:tcPr>
          <w:p>
            <w:pPr>
              <w:jc w:val="right"/>
              <w:bidi w:val="1"/>
            </w:pPr>
            <w:r>
              <w:rPr>
                <w:rFonts w:ascii="Arial" w:hAnsi="Arial" w:cs="Arial"/>
                <w:b w:val="0"/>
                <w:color w:val="000000"/>
                <w:sz w:val="19"/>
                <w:rtl w:val="1"/>
              </w:rPr>
              <w:t>المستخدمون والصلاحيات</w:t>
            </w:r>
          </w:p>
        </w:tc>
        <w:tc>
          <w:tcPr>
            <w:tcW w:type="dxa" w:w="6360"/>
          </w:tcPr>
          <w:p>
            <w:pPr>
              <w:jc w:val="right"/>
              <w:bidi w:val="1"/>
            </w:pPr>
            <w:r>
              <w:rPr>
                <w:rFonts w:ascii="Arial" w:hAnsi="Arial" w:cs="Arial"/>
                <w:b w:val="0"/>
                <w:color w:val="000000"/>
                <w:sz w:val="19"/>
                <w:rtl w:val="1"/>
              </w:rPr>
              <w:t>إدارة الموظفين وما يسمح لكل موظف بعمله.</w:t>
            </w:r>
          </w:p>
        </w:tc>
      </w:tr>
      <w:tr>
        <w:tc>
          <w:tcPr>
            <w:tcW w:type="dxa" w:w="3000"/>
          </w:tcPr>
          <w:p>
            <w:pPr>
              <w:jc w:val="right"/>
              <w:bidi w:val="1"/>
            </w:pPr>
            <w:r>
              <w:rPr>
                <w:rFonts w:ascii="Arial" w:hAnsi="Arial" w:cs="Arial"/>
                <w:b w:val="0"/>
                <w:color w:val="000000"/>
                <w:sz w:val="19"/>
                <w:rtl w:val="1"/>
              </w:rPr>
              <w:t>الطابعات</w:t>
            </w:r>
          </w:p>
        </w:tc>
        <w:tc>
          <w:tcPr>
            <w:tcW w:type="dxa" w:w="6360"/>
          </w:tcPr>
          <w:p>
            <w:pPr>
              <w:jc w:val="right"/>
              <w:bidi w:val="1"/>
            </w:pPr>
            <w:r>
              <w:rPr>
                <w:rFonts w:ascii="Arial" w:hAnsi="Arial" w:cs="Arial"/>
                <w:b w:val="0"/>
                <w:color w:val="000000"/>
                <w:sz w:val="19"/>
                <w:rtl w:val="1"/>
              </w:rPr>
              <w:t>تحديد طابعة الإيصالات، التقارير، الباركود، والطابعات الفرعية.</w:t>
            </w:r>
          </w:p>
        </w:tc>
      </w:tr>
      <w:tr>
        <w:tc>
          <w:tcPr>
            <w:tcW w:type="dxa" w:w="3000"/>
          </w:tcPr>
          <w:p>
            <w:pPr>
              <w:jc w:val="right"/>
              <w:bidi w:val="1"/>
            </w:pPr>
            <w:r>
              <w:rPr>
                <w:rFonts w:ascii="Arial" w:hAnsi="Arial" w:cs="Arial"/>
                <w:b w:val="0"/>
                <w:color w:val="000000"/>
                <w:sz w:val="19"/>
                <w:rtl w:val="1"/>
              </w:rPr>
              <w:t>النسخ الاحتياطي</w:t>
            </w:r>
          </w:p>
        </w:tc>
        <w:tc>
          <w:tcPr>
            <w:tcW w:type="dxa" w:w="6360"/>
          </w:tcPr>
          <w:p>
            <w:pPr>
              <w:jc w:val="right"/>
              <w:bidi w:val="1"/>
            </w:pPr>
            <w:r>
              <w:rPr>
                <w:rFonts w:ascii="Arial" w:hAnsi="Arial" w:cs="Arial"/>
                <w:b w:val="0"/>
                <w:color w:val="000000"/>
                <w:sz w:val="19"/>
                <w:rtl w:val="1"/>
              </w:rPr>
              <w:t>المساعدة في الحفاظ على بيانات المنشأة.</w:t>
            </w:r>
          </w:p>
        </w:tc>
      </w:tr>
      <w:tr>
        <w:tc>
          <w:tcPr>
            <w:tcW w:type="dxa" w:w="3000"/>
          </w:tcPr>
          <w:p>
            <w:pPr>
              <w:jc w:val="right"/>
              <w:bidi w:val="1"/>
            </w:pPr>
            <w:r>
              <w:rPr>
                <w:rFonts w:ascii="Arial" w:hAnsi="Arial" w:cs="Arial"/>
                <w:b w:val="0"/>
                <w:color w:val="000000"/>
                <w:sz w:val="19"/>
                <w:rtl w:val="1"/>
              </w:rPr>
              <w:t>المخازن والخزينة</w:t>
            </w:r>
          </w:p>
        </w:tc>
        <w:tc>
          <w:tcPr>
            <w:tcW w:type="dxa" w:w="6360"/>
          </w:tcPr>
          <w:p>
            <w:pPr>
              <w:jc w:val="right"/>
              <w:bidi w:val="1"/>
            </w:pPr>
            <w:r>
              <w:rPr>
                <w:rFonts w:ascii="Arial" w:hAnsi="Arial" w:cs="Arial"/>
                <w:b w:val="0"/>
                <w:color w:val="000000"/>
                <w:sz w:val="19"/>
                <w:rtl w:val="1"/>
              </w:rPr>
              <w:t>تعريف المخازن وحسابات الخزينة.</w:t>
            </w:r>
          </w:p>
        </w:tc>
      </w:tr>
      <w:tr>
        <w:tc>
          <w:tcPr>
            <w:tcW w:type="dxa" w:w="3000"/>
          </w:tcPr>
          <w:p>
            <w:pPr>
              <w:jc w:val="right"/>
              <w:bidi w:val="1"/>
            </w:pPr>
            <w:r>
              <w:rPr>
                <w:rFonts w:ascii="Arial" w:hAnsi="Arial" w:cs="Arial"/>
                <w:b w:val="0"/>
                <w:color w:val="000000"/>
                <w:sz w:val="19"/>
                <w:rtl w:val="1"/>
              </w:rPr>
              <w:t>الربط المحاسبي</w:t>
            </w:r>
          </w:p>
        </w:tc>
        <w:tc>
          <w:tcPr>
            <w:tcW w:type="dxa" w:w="6360"/>
          </w:tcPr>
          <w:p>
            <w:pPr>
              <w:jc w:val="right"/>
              <w:bidi w:val="1"/>
            </w:pPr>
            <w:r>
              <w:rPr>
                <w:rFonts w:ascii="Arial" w:hAnsi="Arial" w:cs="Arial"/>
                <w:b w:val="0"/>
                <w:color w:val="000000"/>
                <w:sz w:val="19"/>
                <w:rtl w:val="1"/>
              </w:rPr>
              <w:t>تهيئة الحسابات الافتراضية وربط العمليات بالحسابات.</w:t>
            </w:r>
          </w:p>
        </w:tc>
      </w:tr>
      <w:tr>
        <w:tc>
          <w:tcPr>
            <w:tcW w:type="dxa" w:w="3000"/>
          </w:tcPr>
          <w:p>
            <w:pPr>
              <w:jc w:val="right"/>
              <w:bidi w:val="1"/>
            </w:pPr>
            <w:r>
              <w:rPr>
                <w:rFonts w:ascii="Arial" w:hAnsi="Arial" w:cs="Arial"/>
                <w:b w:val="0"/>
                <w:color w:val="000000"/>
                <w:sz w:val="19"/>
                <w:rtl w:val="1"/>
              </w:rPr>
              <w:t>مراقبة الشبكة</w:t>
            </w:r>
          </w:p>
        </w:tc>
        <w:tc>
          <w:tcPr>
            <w:tcW w:type="dxa" w:w="6360"/>
          </w:tcPr>
          <w:p>
            <w:pPr>
              <w:jc w:val="right"/>
              <w:bidi w:val="1"/>
            </w:pPr>
            <w:r>
              <w:rPr>
                <w:rFonts w:ascii="Arial" w:hAnsi="Arial" w:cs="Arial"/>
                <w:b w:val="0"/>
                <w:color w:val="000000"/>
                <w:sz w:val="19"/>
                <w:rtl w:val="1"/>
              </w:rPr>
              <w:t>متابعة حالة الاتصال والحركة عند الحاجة.</w:t>
            </w:r>
          </w:p>
        </w:tc>
      </w:tr>
    </w:tbl>
    <w:p/>
    <w:p>
      <w:pPr>
        <w:pStyle w:val="Heading1"/>
        <w:spacing w:before="320" w:after="140"/>
        <w:jc w:val="right"/>
        <w:bidi w:val="1"/>
      </w:pPr>
      <w:r>
        <w:rPr>
          <w:rFonts w:ascii="Arial" w:hAnsi="Arial" w:cs="Arial"/>
          <w:b/>
          <w:color w:val="2E74B5"/>
          <w:sz w:val="34"/>
          <w:rtl w:val="1"/>
        </w:rPr>
        <w:t>10. لماذا CPOS اختيار مناسب؟</w:t>
      </w:r>
    </w:p>
    <w:p>
      <w:pPr>
        <w:pStyle w:val="ListBullet"/>
        <w:spacing w:after="80" w:line="276" w:lineRule="auto"/>
        <w:jc w:val="right"/>
        <w:bidi w:val="1"/>
      </w:pPr>
      <w:r>
        <w:rPr>
          <w:rFonts w:ascii="Arial" w:hAnsi="Arial" w:cs="Arial"/>
          <w:b w:val="0"/>
          <w:color w:val="000000"/>
          <w:sz w:val="21"/>
          <w:rtl w:val="1"/>
        </w:rPr>
        <w:t>يجمع أكثر من جزء من العمل في نظام واحد: بيع، شراء، مخزون، حسابات، وتقارير.</w:t>
      </w:r>
    </w:p>
    <w:p>
      <w:pPr>
        <w:pStyle w:val="ListBullet"/>
        <w:spacing w:after="80" w:line="276" w:lineRule="auto"/>
        <w:jc w:val="right"/>
        <w:bidi w:val="1"/>
      </w:pPr>
      <w:r>
        <w:rPr>
          <w:rFonts w:ascii="Arial" w:hAnsi="Arial" w:cs="Arial"/>
          <w:b w:val="0"/>
          <w:color w:val="000000"/>
          <w:sz w:val="21"/>
          <w:rtl w:val="1"/>
        </w:rPr>
        <w:t>يساعد الإدارة على معرفة ما يحدث الآن، لا بعد نهاية الشهر فقط.</w:t>
      </w:r>
    </w:p>
    <w:p>
      <w:pPr>
        <w:pStyle w:val="ListBullet"/>
        <w:spacing w:after="80" w:line="276" w:lineRule="auto"/>
        <w:jc w:val="right"/>
        <w:bidi w:val="1"/>
      </w:pPr>
      <w:r>
        <w:rPr>
          <w:rFonts w:ascii="Arial" w:hAnsi="Arial" w:cs="Arial"/>
          <w:b w:val="0"/>
          <w:color w:val="000000"/>
          <w:sz w:val="21"/>
          <w:rtl w:val="1"/>
        </w:rPr>
        <w:t>يقلل الاعتماد على الأوراق والملفات المتفرقة.</w:t>
      </w:r>
    </w:p>
    <w:p>
      <w:pPr>
        <w:pStyle w:val="ListBullet"/>
        <w:spacing w:after="80" w:line="276" w:lineRule="auto"/>
        <w:jc w:val="right"/>
        <w:bidi w:val="1"/>
      </w:pPr>
      <w:r>
        <w:rPr>
          <w:rFonts w:ascii="Arial" w:hAnsi="Arial" w:cs="Arial"/>
          <w:b w:val="0"/>
          <w:color w:val="000000"/>
          <w:sz w:val="21"/>
          <w:rtl w:val="1"/>
        </w:rPr>
        <w:t>يدعم الصلاحيات، مما يحمي العمليات الحساسة.</w:t>
      </w:r>
    </w:p>
    <w:p>
      <w:pPr>
        <w:pStyle w:val="ListBullet"/>
        <w:spacing w:after="80" w:line="276" w:lineRule="auto"/>
        <w:jc w:val="right"/>
        <w:bidi w:val="1"/>
      </w:pPr>
      <w:r>
        <w:rPr>
          <w:rFonts w:ascii="Arial" w:hAnsi="Arial" w:cs="Arial"/>
          <w:b w:val="0"/>
          <w:color w:val="000000"/>
          <w:sz w:val="21"/>
          <w:rtl w:val="1"/>
        </w:rPr>
        <w:t>يربط الفواتير بالدليل الحسابي والقيود والسندات والتقارير المالية.</w:t>
      </w:r>
    </w:p>
    <w:p>
      <w:pPr>
        <w:pStyle w:val="ListBullet"/>
        <w:spacing w:after="80" w:line="276" w:lineRule="auto"/>
        <w:jc w:val="right"/>
        <w:bidi w:val="1"/>
      </w:pPr>
      <w:r>
        <w:rPr>
          <w:rFonts w:ascii="Arial" w:hAnsi="Arial" w:cs="Arial"/>
          <w:b w:val="0"/>
          <w:color w:val="000000"/>
          <w:sz w:val="21"/>
          <w:rtl w:val="1"/>
        </w:rPr>
        <w:t>قابل للتخصيص حسب نوع النشاط: متجر، مطعم، مخزن، أو نشاط توزيع.</w:t>
      </w:r>
    </w:p>
    <w:p>
      <w:pPr>
        <w:pStyle w:val="Heading1"/>
        <w:spacing w:before="320" w:after="140"/>
        <w:jc w:val="right"/>
        <w:bidi w:val="1"/>
      </w:pPr>
      <w:r>
        <w:rPr>
          <w:rFonts w:ascii="Arial" w:hAnsi="Arial" w:cs="Arial"/>
          <w:b/>
          <w:color w:val="2E74B5"/>
          <w:sz w:val="34"/>
          <w:rtl w:val="1"/>
        </w:rPr>
        <w:t>11. خطوات تطبيق مقترحة</w:t>
      </w:r>
    </w:p>
    <w:tbl>
      <w:tblPr>
        <w:tblW w:type="dxa" w:w="9360"/>
        <w:jc w:val="right"/>
        <w:tblLook w:firstColumn="1" w:firstRow="1" w:lastColumn="0" w:lastRow="0" w:noHBand="0" w:noVBand="1" w:val="04A0"/>
        <w:tblInd w:w="120" w:type="dxa"/>
        <w:tblLayout w:type="fixed"/>
      </w:tblPr>
      <w:tblGrid>
        <w:gridCol w:w="2200"/>
        <w:gridCol w:w="7160"/>
      </w:tblGrid>
      <w:tr>
        <w:tc>
          <w:tcPr>
            <w:tcW w:type="dxa" w:w="220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الخطوة</w:t>
            </w:r>
          </w:p>
        </w:tc>
        <w:tc>
          <w:tcPr>
            <w:tcW w:type="dxa" w:w="7160"/>
            <w:vAlign w:val="center"/>
            <w:tcMar>
              <w:top w:w="100" w:type="dxa"/>
              <w:start w:w="140" w:type="dxa"/>
              <w:bottom w:w="100" w:type="dxa"/>
              <w:end w:w="140" w:type="dxa"/>
            </w:tcMar>
            <w:shd w:fill="E8EEF5"/>
          </w:tcPr>
          <w:p>
            <w:pPr>
              <w:jc w:val="center"/>
              <w:bidi w:val="1"/>
            </w:pPr>
            <w:r>
              <w:rPr>
                <w:rFonts w:ascii="Arial" w:hAnsi="Arial" w:cs="Arial"/>
                <w:b/>
                <w:color w:val="0B2545"/>
                <w:sz w:val="21"/>
                <w:rtl w:val="1"/>
              </w:rPr>
              <w:t>الوصف</w:t>
            </w:r>
          </w:p>
        </w:tc>
      </w:tr>
      <w:tr>
        <w:tc>
          <w:tcPr>
            <w:tcW w:type="dxa" w:w="2200"/>
          </w:tcPr>
          <w:p>
            <w:pPr>
              <w:jc w:val="right"/>
              <w:bidi w:val="1"/>
            </w:pPr>
            <w:r>
              <w:rPr>
                <w:rFonts w:ascii="Arial" w:hAnsi="Arial" w:cs="Arial"/>
                <w:b w:val="0"/>
                <w:color w:val="000000"/>
                <w:sz w:val="19"/>
                <w:rtl w:val="1"/>
              </w:rPr>
              <w:t>1. التهيئة</w:t>
            </w:r>
          </w:p>
        </w:tc>
        <w:tc>
          <w:tcPr>
            <w:tcW w:type="dxa" w:w="7160"/>
          </w:tcPr>
          <w:p>
            <w:pPr>
              <w:jc w:val="right"/>
              <w:bidi w:val="1"/>
            </w:pPr>
            <w:r>
              <w:rPr>
                <w:rFonts w:ascii="Arial" w:hAnsi="Arial" w:cs="Arial"/>
                <w:b w:val="0"/>
                <w:color w:val="000000"/>
                <w:sz w:val="19"/>
                <w:rtl w:val="1"/>
              </w:rPr>
              <w:t>ضبط قاعدة البيانات، السيرفر، الطابعات، والإعدادات العامة.</w:t>
            </w:r>
          </w:p>
        </w:tc>
      </w:tr>
      <w:tr>
        <w:tc>
          <w:tcPr>
            <w:tcW w:type="dxa" w:w="2200"/>
          </w:tcPr>
          <w:p>
            <w:pPr>
              <w:jc w:val="right"/>
              <w:bidi w:val="1"/>
            </w:pPr>
            <w:r>
              <w:rPr>
                <w:rFonts w:ascii="Arial" w:hAnsi="Arial" w:cs="Arial"/>
                <w:b w:val="0"/>
                <w:color w:val="000000"/>
                <w:sz w:val="19"/>
                <w:rtl w:val="1"/>
              </w:rPr>
              <w:t>2. تعريف البيانات</w:t>
            </w:r>
          </w:p>
        </w:tc>
        <w:tc>
          <w:tcPr>
            <w:tcW w:type="dxa" w:w="7160"/>
          </w:tcPr>
          <w:p>
            <w:pPr>
              <w:jc w:val="right"/>
              <w:bidi w:val="1"/>
            </w:pPr>
            <w:r>
              <w:rPr>
                <w:rFonts w:ascii="Arial" w:hAnsi="Arial" w:cs="Arial"/>
                <w:b w:val="0"/>
                <w:color w:val="000000"/>
                <w:sz w:val="19"/>
                <w:rtl w:val="1"/>
              </w:rPr>
              <w:t>إدخال الأصناف، الوحدات، التصنيفات، المخازن، العملاء، الموردين، والحسابات الأساسية.</w:t>
            </w:r>
          </w:p>
        </w:tc>
      </w:tr>
      <w:tr>
        <w:tc>
          <w:tcPr>
            <w:tcW w:type="dxa" w:w="2200"/>
          </w:tcPr>
          <w:p>
            <w:pPr>
              <w:jc w:val="right"/>
              <w:bidi w:val="1"/>
            </w:pPr>
            <w:r>
              <w:rPr>
                <w:rFonts w:ascii="Arial" w:hAnsi="Arial" w:cs="Arial"/>
                <w:b w:val="0"/>
                <w:color w:val="000000"/>
                <w:sz w:val="19"/>
                <w:rtl w:val="1"/>
              </w:rPr>
              <w:t>3. ضبط الدليل الحسابي</w:t>
            </w:r>
          </w:p>
        </w:tc>
        <w:tc>
          <w:tcPr>
            <w:tcW w:type="dxa" w:w="7160"/>
          </w:tcPr>
          <w:p>
            <w:pPr>
              <w:jc w:val="right"/>
              <w:bidi w:val="1"/>
            </w:pPr>
            <w:r>
              <w:rPr>
                <w:rFonts w:ascii="Arial" w:hAnsi="Arial" w:cs="Arial"/>
                <w:b w:val="0"/>
                <w:color w:val="000000"/>
                <w:sz w:val="19"/>
                <w:rtl w:val="1"/>
              </w:rPr>
              <w:t>تعريف الحسابات وربط حسابات المبيعات والمشتريات والخزينة والمخزون والمصروفات.</w:t>
            </w:r>
          </w:p>
        </w:tc>
      </w:tr>
      <w:tr>
        <w:tc>
          <w:tcPr>
            <w:tcW w:type="dxa" w:w="2200"/>
          </w:tcPr>
          <w:p>
            <w:pPr>
              <w:jc w:val="right"/>
              <w:bidi w:val="1"/>
            </w:pPr>
            <w:r>
              <w:rPr>
                <w:rFonts w:ascii="Arial" w:hAnsi="Arial" w:cs="Arial"/>
                <w:b w:val="0"/>
                <w:color w:val="000000"/>
                <w:sz w:val="19"/>
                <w:rtl w:val="1"/>
              </w:rPr>
              <w:t>4. ضبط الصلاحيات</w:t>
            </w:r>
          </w:p>
        </w:tc>
        <w:tc>
          <w:tcPr>
            <w:tcW w:type="dxa" w:w="7160"/>
          </w:tcPr>
          <w:p>
            <w:pPr>
              <w:jc w:val="right"/>
              <w:bidi w:val="1"/>
            </w:pPr>
            <w:r>
              <w:rPr>
                <w:rFonts w:ascii="Arial" w:hAnsi="Arial" w:cs="Arial"/>
                <w:b w:val="0"/>
                <w:color w:val="000000"/>
                <w:sz w:val="19"/>
                <w:rtl w:val="1"/>
              </w:rPr>
              <w:t>تحديد صلاحيات كل مستخدم حسب دوره.</w:t>
            </w:r>
          </w:p>
        </w:tc>
      </w:tr>
      <w:tr>
        <w:tc>
          <w:tcPr>
            <w:tcW w:type="dxa" w:w="2200"/>
          </w:tcPr>
          <w:p>
            <w:pPr>
              <w:jc w:val="right"/>
              <w:bidi w:val="1"/>
            </w:pPr>
            <w:r>
              <w:rPr>
                <w:rFonts w:ascii="Arial" w:hAnsi="Arial" w:cs="Arial"/>
                <w:b w:val="0"/>
                <w:color w:val="000000"/>
                <w:sz w:val="19"/>
                <w:rtl w:val="1"/>
              </w:rPr>
              <w:t>5. التشغيل التجريبي</w:t>
            </w:r>
          </w:p>
        </w:tc>
        <w:tc>
          <w:tcPr>
            <w:tcW w:type="dxa" w:w="7160"/>
          </w:tcPr>
          <w:p>
            <w:pPr>
              <w:jc w:val="right"/>
              <w:bidi w:val="1"/>
            </w:pPr>
            <w:r>
              <w:rPr>
                <w:rFonts w:ascii="Arial" w:hAnsi="Arial" w:cs="Arial"/>
                <w:b w:val="0"/>
                <w:color w:val="000000"/>
                <w:sz w:val="19"/>
                <w:rtl w:val="1"/>
              </w:rPr>
              <w:t>تجربة دورة البيع والشراء والمخزون والحسابات والتقارير.</w:t>
            </w:r>
          </w:p>
        </w:tc>
      </w:tr>
      <w:tr>
        <w:tc>
          <w:tcPr>
            <w:tcW w:type="dxa" w:w="2200"/>
          </w:tcPr>
          <w:p>
            <w:pPr>
              <w:jc w:val="right"/>
              <w:bidi w:val="1"/>
            </w:pPr>
            <w:r>
              <w:rPr>
                <w:rFonts w:ascii="Arial" w:hAnsi="Arial" w:cs="Arial"/>
                <w:b w:val="0"/>
                <w:color w:val="000000"/>
                <w:sz w:val="19"/>
                <w:rtl w:val="1"/>
              </w:rPr>
              <w:t>6. التشغيل الفعلي</w:t>
            </w:r>
          </w:p>
        </w:tc>
        <w:tc>
          <w:tcPr>
            <w:tcW w:type="dxa" w:w="7160"/>
          </w:tcPr>
          <w:p>
            <w:pPr>
              <w:jc w:val="right"/>
              <w:bidi w:val="1"/>
            </w:pPr>
            <w:r>
              <w:rPr>
                <w:rFonts w:ascii="Arial" w:hAnsi="Arial" w:cs="Arial"/>
                <w:b w:val="0"/>
                <w:color w:val="000000"/>
                <w:sz w:val="19"/>
                <w:rtl w:val="1"/>
              </w:rPr>
              <w:t>بدء استخدام النظام يوميًا مع متابعة الدعم والتدريب.</w:t>
            </w:r>
          </w:p>
        </w:tc>
      </w:tr>
    </w:tbl>
    <w:p/>
    <w:tbl>
      <w:tblPr>
        <w:tblW w:type="dxa" w:w="9360"/>
        <w:jc w:val="right"/>
        <w:tblLook w:firstColumn="1" w:firstRow="1" w:lastColumn="0" w:lastRow="0" w:noHBand="0" w:noVBand="1" w:val="04A0"/>
        <w:tblInd w:w="120" w:type="dxa"/>
        <w:tblLayout w:type="fixed"/>
      </w:tblPr>
      <w:tblGrid>
        <w:gridCol w:w="9360"/>
      </w:tblGrid>
      <w:tr>
        <w:tc>
          <w:tcPr>
            <w:tcW w:type="dxa" w:w="9360"/>
            <w:vAlign w:val="center"/>
            <w:tcMar>
              <w:top w:w="100" w:type="dxa"/>
              <w:start w:w="140" w:type="dxa"/>
              <w:bottom w:w="100" w:type="dxa"/>
              <w:end w:w="140" w:type="dxa"/>
            </w:tcMar>
            <w:shd w:fill="EAF4EF"/>
          </w:tcPr>
          <w:p>
            <w:pPr>
              <w:spacing w:after="0"/>
              <w:jc w:val="right"/>
              <w:bidi w:val="1"/>
            </w:pPr>
            <w:r>
              <w:rPr>
                <w:rFonts w:ascii="Arial" w:hAnsi="Arial" w:cs="Arial"/>
                <w:b/>
                <w:color w:val="0B2545"/>
                <w:sz w:val="25"/>
                <w:rtl w:val="1"/>
              </w:rPr>
              <w:t>الخلاصة</w:t>
            </w:r>
            <w:r>
              <w:rPr>
                <w:rtl w:val="1"/>
              </w:rPr>
              <w:br/>
            </w:r>
            <w:r>
              <w:rPr>
                <w:rFonts w:ascii="Arial" w:hAnsi="Arial" w:cs="Arial"/>
                <w:b w:val="0"/>
                <w:color w:val="000000"/>
                <w:sz w:val="21"/>
                <w:rtl w:val="1"/>
              </w:rPr>
              <w:t>CPOS يقدم للعميل طريقة أسهل لإدارة نشاطه اليومي: فواتير أسرع، مخزون أوضح، حسابات أكثر انضباطًا، صلاحيات محكمة، وتقارير تساعد على اتخاذ القرار.</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b w:val="0"/>
        <w:color w:val="666666"/>
        <w:sz w:val="17"/>
        <w:rtl w:val="1"/>
      </w:rPr>
      <w:t>CPOS - عرض مزايا النظام للعميل</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عرض مزايا نظام CPOS للعميل</dc:title>
  <dc:subject>حل متكامل لإدارة المبيعات والمخزون والحسابات</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