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right"/>
        <w:bidi w:val="1"/>
      </w:pPr>
      <w:r>
        <w:rPr>
          <w:rFonts w:ascii="Arial" w:hAnsi="Arial" w:cs="Arial"/>
          <w:b/>
          <w:color w:val="0B2545"/>
          <w:sz w:val="48"/>
          <w:rtl w:val="1"/>
        </w:rPr>
        <w:t>عرض فني لنظام CPOS</w:t>
      </w:r>
    </w:p>
    <w:p>
      <w:pPr>
        <w:spacing w:after="360" w:before="0" w:line="276" w:lineRule="auto"/>
        <w:jc w:val="right"/>
        <w:bidi w:val="1"/>
      </w:pPr>
      <w:r>
        <w:rPr>
          <w:rFonts w:ascii="Arial" w:hAnsi="Arial" w:cs="Arial"/>
          <w:b/>
          <w:color w:val="2E74B5"/>
          <w:sz w:val="32"/>
          <w:rtl w:val="1"/>
        </w:rPr>
        <w:t>نظام المبيعات وإدارة المخزون - الداشبورد</w:t>
      </w:r>
    </w:p>
    <w:p>
      <w:pPr>
        <w:spacing w:after="360" w:before="0" w:line="276" w:lineRule="auto"/>
        <w:jc w:val="right"/>
        <w:bidi w:val="1"/>
      </w:pPr>
      <w:r>
        <w:rPr>
          <w:rFonts w:ascii="Arial" w:hAnsi="Arial" w:cs="Arial"/>
          <w:b w:val="0"/>
          <w:color w:val="333333"/>
          <w:sz w:val="24"/>
          <w:rtl w:val="1"/>
        </w:rPr>
        <w:t>إعداد موجز فني مبني على خصائص شاشة MainForm ومزايا شاشة SysOptions</w:t>
      </w:r>
    </w:p>
    <w:tbl>
      <w:tblPr>
        <w:tblW w:type="dxa" w:w="9360"/>
        <w:jc w:val="right"/>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vAlign w:val="center"/>
            <w:shd w:fill="F4F6F9"/>
          </w:tcPr>
          <w:p>
            <w:pPr>
              <w:jc w:val="right"/>
              <w:bidi w:val="1"/>
            </w:pPr>
            <w:r>
              <w:rPr>
                <w:rFonts w:ascii="Arial" w:hAnsi="Arial" w:cs="Arial"/>
                <w:b/>
                <w:color w:val="0B2545"/>
                <w:sz w:val="24"/>
                <w:rtl w:val="1"/>
              </w:rPr>
              <w:t>الفكرة العامة</w:t>
            </w:r>
            <w:r>
              <w:rPr>
                <w:rtl w:val="1"/>
              </w:rPr>
              <w:br/>
            </w:r>
            <w:r>
              <w:rPr>
                <w:rFonts w:ascii="Arial" w:hAnsi="Arial" w:cs="Arial"/>
                <w:color w:val="0B2545"/>
                <w:sz w:val="21"/>
                <w:rtl w:val="1"/>
              </w:rPr>
              <w:t>النظام يوفر منصة تشغيل موحدة للمبيعات، المشتريات، المخزون، التصنيع، الحسابات، التقارير، وإدارة الصلاحيات. التركيز العملي للنظام هو تقليل تشتت العمليات اليومية وربط الحركة المالية والمخزنية ضمن واجهة تشغيل واحدة.</w:t>
            </w:r>
          </w:p>
        </w:tc>
      </w:tr>
    </w:tbl>
    <w:p/>
    <w:tbl>
      <w:tblPr>
        <w:tblW w:type="dxa" w:w="9360"/>
        <w:jc w:val="right"/>
        <w:tblLook w:firstColumn="1" w:firstRow="1" w:lastColumn="0" w:lastRow="0" w:noHBand="0" w:noVBand="1" w:val="04A0"/>
        <w:tblInd w:w="120" w:type="dxa"/>
        <w:tblLayout w:type="fixed"/>
      </w:tblPr>
      <w:tblGrid>
        <w:gridCol w:w="2500"/>
        <w:gridCol w:w="4360"/>
        <w:gridCol w:w="2500"/>
      </w:tblGrid>
      <w:tr>
        <w:tc>
          <w:tcPr>
            <w:tcW w:type="dxa" w:w="2500"/>
            <w:tcMar>
              <w:top w:w="80" w:type="dxa"/>
              <w:start w:w="120" w:type="dxa"/>
              <w:bottom w:w="80" w:type="dxa"/>
              <w:end w:w="120" w:type="dxa"/>
            </w:tcMar>
            <w:vAlign w:val="center"/>
            <w:shd w:fill="E8EEF5"/>
          </w:tcPr>
          <w:p>
            <w:pPr>
              <w:jc w:val="right"/>
              <w:bidi w:val="1"/>
            </w:pPr>
            <w:r>
              <w:rPr>
                <w:rFonts w:ascii="Arial" w:hAnsi="Arial" w:cs="Arial"/>
                <w:b/>
                <w:color w:val="0B2545"/>
                <w:sz w:val="21"/>
                <w:rtl w:val="1"/>
              </w:rPr>
              <w:t>نوع المستند</w:t>
            </w:r>
          </w:p>
        </w:tc>
        <w:tc>
          <w:tcPr>
            <w:tcW w:type="dxa" w:w="4360"/>
            <w:tcMar>
              <w:top w:w="80" w:type="dxa"/>
              <w:start w:w="120" w:type="dxa"/>
              <w:bottom w:w="80" w:type="dxa"/>
              <w:end w:w="120" w:type="dxa"/>
            </w:tcMar>
            <w:vAlign w:val="center"/>
            <w:shd w:fill="E8EEF5"/>
          </w:tcPr>
          <w:p>
            <w:pPr>
              <w:jc w:val="right"/>
              <w:bidi w:val="1"/>
            </w:pPr>
            <w:r>
              <w:rPr>
                <w:rFonts w:ascii="Arial" w:hAnsi="Arial" w:cs="Arial"/>
                <w:b/>
                <w:color w:val="0B2545"/>
                <w:sz w:val="21"/>
                <w:rtl w:val="1"/>
              </w:rPr>
              <w:t>نطاق التحليل</w:t>
            </w:r>
          </w:p>
        </w:tc>
        <w:tc>
          <w:tcPr>
            <w:tcW w:type="dxa" w:w="2500"/>
            <w:tcMar>
              <w:top w:w="80" w:type="dxa"/>
              <w:start w:w="120" w:type="dxa"/>
              <w:bottom w:w="80" w:type="dxa"/>
              <w:end w:w="120" w:type="dxa"/>
            </w:tcMar>
            <w:vAlign w:val="center"/>
            <w:shd w:fill="E8EEF5"/>
          </w:tcPr>
          <w:p>
            <w:pPr>
              <w:jc w:val="right"/>
              <w:bidi w:val="1"/>
            </w:pPr>
            <w:r>
              <w:rPr>
                <w:rFonts w:ascii="Arial" w:hAnsi="Arial" w:cs="Arial"/>
                <w:b/>
                <w:color w:val="0B2545"/>
                <w:sz w:val="21"/>
                <w:rtl w:val="1"/>
              </w:rPr>
              <w:t>تاريخ الإعداد</w:t>
            </w:r>
          </w:p>
        </w:tc>
      </w:tr>
      <w:tr>
        <w:tc>
          <w:tcPr>
            <w:tcW w:type="dxa" w:w="2500"/>
          </w:tcPr>
          <w:p>
            <w:pPr>
              <w:jc w:val="right"/>
              <w:bidi w:val="1"/>
            </w:pPr>
            <w:r>
              <w:rPr>
                <w:rFonts w:ascii="Arial" w:hAnsi="Arial" w:cs="Arial"/>
                <w:color w:val="000000"/>
                <w:sz w:val="19"/>
                <w:rtl w:val="1"/>
              </w:rPr>
              <w:t>عرض فني</w:t>
            </w:r>
          </w:p>
        </w:tc>
        <w:tc>
          <w:tcPr>
            <w:tcW w:type="dxa" w:w="4360"/>
          </w:tcPr>
          <w:p>
            <w:pPr>
              <w:jc w:val="right"/>
              <w:bidi w:val="1"/>
            </w:pPr>
            <w:r>
              <w:rPr>
                <w:rFonts w:ascii="Arial" w:hAnsi="Arial" w:cs="Arial"/>
                <w:color w:val="000000"/>
                <w:sz w:val="19"/>
                <w:rtl w:val="1"/>
              </w:rPr>
              <w:t>MainForm + SysOptions</w:t>
            </w:r>
          </w:p>
        </w:tc>
        <w:tc>
          <w:tcPr>
            <w:tcW w:type="dxa" w:w="2500"/>
          </w:tcPr>
          <w:p>
            <w:pPr>
              <w:jc w:val="right"/>
              <w:bidi w:val="1"/>
            </w:pPr>
            <w:r>
              <w:rPr>
                <w:rFonts w:ascii="Arial" w:hAnsi="Arial" w:cs="Arial"/>
                <w:color w:val="000000"/>
                <w:sz w:val="19"/>
                <w:rtl w:val="1"/>
              </w:rPr>
              <w:t>2026/06/03</w:t>
            </w:r>
          </w:p>
        </w:tc>
      </w:tr>
    </w:tbl>
    <w:p>
      <w:r>
        <w:br w:type="page"/>
      </w:r>
    </w:p>
    <w:p>
      <w:pPr>
        <w:pStyle w:val="Heading1"/>
        <w:spacing w:before="280" w:after="120"/>
        <w:jc w:val="right"/>
        <w:bidi w:val="1"/>
      </w:pPr>
      <w:r>
        <w:rPr>
          <w:rFonts w:ascii="Arial" w:hAnsi="Arial" w:cs="Arial"/>
          <w:b/>
          <w:color w:val="2E74B5"/>
          <w:sz w:val="32"/>
          <w:rtl w:val="1"/>
        </w:rPr>
        <w:t>1. الملخص التنفيذي</w:t>
      </w:r>
    </w:p>
    <w:p>
      <w:pPr>
        <w:spacing w:after="120" w:before="0" w:line="276" w:lineRule="auto"/>
        <w:jc w:val="right"/>
        <w:bidi w:val="1"/>
      </w:pPr>
      <w:r>
        <w:rPr>
          <w:rFonts w:ascii="Arial" w:hAnsi="Arial" w:cs="Arial"/>
          <w:b w:val="0"/>
          <w:sz w:val="22"/>
          <w:rtl w:val="1"/>
        </w:rPr>
        <w:t>يعرض هذا المستند الخصائص الرئيسية لنظام CPOS كما تظهر من شاشة التشغيل الرئيسية وشاشة إدارة النظام. يركز العرض على القيمة العملية للنظام للمنشآت التجارية والمطاعم ونقاط البيع التي تحتاج إلى متابعة المبيعات والمشتريات والمخزون والحسابات من مكان واحد.</w:t>
      </w:r>
    </w:p>
    <w:p>
      <w:pPr>
        <w:pStyle w:val="ListBullet"/>
        <w:spacing w:after="80" w:line="276" w:lineRule="auto"/>
        <w:jc w:val="right"/>
        <w:bidi w:val="1"/>
      </w:pPr>
      <w:r>
        <w:rPr>
          <w:rFonts w:ascii="Arial" w:hAnsi="Arial" w:cs="Arial"/>
          <w:sz w:val="21"/>
          <w:rtl w:val="1"/>
        </w:rPr>
        <w:t>واجهة رئيسية موحدة تضم المبيعات، المشتريات، المنتجات، المخازن، التصنيع، المصروفات، العملاء، الحسابات، والتقارير.</w:t>
      </w:r>
    </w:p>
    <w:p>
      <w:pPr>
        <w:pStyle w:val="ListBullet"/>
        <w:spacing w:after="80" w:line="276" w:lineRule="auto"/>
        <w:jc w:val="right"/>
        <w:bidi w:val="1"/>
      </w:pPr>
      <w:r>
        <w:rPr>
          <w:rFonts w:ascii="Arial" w:hAnsi="Arial" w:cs="Arial"/>
          <w:sz w:val="21"/>
          <w:rtl w:val="1"/>
        </w:rPr>
        <w:t>لوحة تشغيل تعرض بيانات المستخدم وقاعدة البيانات وحالة الخادم مع أزرار وصول سريع وأدوات طباعة وتنبيهات.</w:t>
      </w:r>
    </w:p>
    <w:p>
      <w:pPr>
        <w:pStyle w:val="ListBullet"/>
        <w:spacing w:after="80" w:line="276" w:lineRule="auto"/>
        <w:jc w:val="right"/>
        <w:bidi w:val="1"/>
      </w:pPr>
      <w:r>
        <w:rPr>
          <w:rFonts w:ascii="Arial" w:hAnsi="Arial" w:cs="Arial"/>
          <w:sz w:val="21"/>
          <w:rtl w:val="1"/>
        </w:rPr>
        <w:t>نظام صلاحيات تفصيلي يتحكم في فتح الشاشات، الإضافة، التعديل، الإلغاء، الخصومات، عرض التكلفة، والتعامل مع الخزينة.</w:t>
      </w:r>
    </w:p>
    <w:p>
      <w:pPr>
        <w:pStyle w:val="ListBullet"/>
        <w:spacing w:after="80" w:line="276" w:lineRule="auto"/>
        <w:jc w:val="right"/>
        <w:bidi w:val="1"/>
      </w:pPr>
      <w:r>
        <w:rPr>
          <w:rFonts w:ascii="Arial" w:hAnsi="Arial" w:cs="Arial"/>
          <w:sz w:val="21"/>
          <w:rtl w:val="1"/>
        </w:rPr>
        <w:t>إدارة مركزية للخيارات الفنية مثل السيرفر، النسخ الاحتياطي، الطابعات، المستخدمين، المخازن، الربط المحاسبي، ومراقبة الشبكة.</w:t>
      </w:r>
    </w:p>
    <w:p>
      <w:pPr>
        <w:pStyle w:val="Heading1"/>
        <w:spacing w:before="280" w:after="120"/>
        <w:jc w:val="right"/>
        <w:bidi w:val="1"/>
      </w:pPr>
      <w:r>
        <w:rPr>
          <w:rFonts w:ascii="Arial" w:hAnsi="Arial" w:cs="Arial"/>
          <w:b/>
          <w:color w:val="2E74B5"/>
          <w:sz w:val="32"/>
          <w:rtl w:val="1"/>
        </w:rPr>
        <w:t>2. خريطة الوحدات التشغيلية من الشاشة الرئيسية</w:t>
      </w:r>
    </w:p>
    <w:tbl>
      <w:tblPr>
        <w:tblW w:type="dxa" w:w="9360"/>
        <w:jc w:val="right"/>
        <w:tblLook w:firstColumn="1" w:firstRow="1" w:lastColumn="0" w:lastRow="0" w:noHBand="0" w:noVBand="1" w:val="04A0"/>
        <w:tblInd w:w="120" w:type="dxa"/>
        <w:tblLayout w:type="fixed"/>
      </w:tblPr>
      <w:tblGrid>
        <w:gridCol w:w="1800"/>
        <w:gridCol w:w="4560"/>
        <w:gridCol w:w="3000"/>
      </w:tblGrid>
      <w:tr>
        <w:tc>
          <w:tcPr>
            <w:tcW w:type="dxa" w:w="1800"/>
            <w:tcMar>
              <w:top w:w="80" w:type="dxa"/>
              <w:start w:w="120" w:type="dxa"/>
              <w:bottom w:w="80" w:type="dxa"/>
              <w:end w:w="120" w:type="dxa"/>
            </w:tcMar>
            <w:vAlign w:val="center"/>
            <w:shd w:fill="E8EEF5"/>
          </w:tcPr>
          <w:p>
            <w:pPr>
              <w:jc w:val="right"/>
              <w:bidi w:val="1"/>
            </w:pPr>
            <w:r>
              <w:rPr>
                <w:rFonts w:ascii="Arial" w:hAnsi="Arial" w:cs="Arial"/>
                <w:b/>
                <w:color w:val="0B2545"/>
                <w:sz w:val="21"/>
                <w:rtl w:val="1"/>
              </w:rPr>
              <w:t>الوحدة</w:t>
            </w:r>
          </w:p>
        </w:tc>
        <w:tc>
          <w:tcPr>
            <w:tcW w:type="dxa" w:w="4560"/>
            <w:tcMar>
              <w:top w:w="80" w:type="dxa"/>
              <w:start w:w="120" w:type="dxa"/>
              <w:bottom w:w="80" w:type="dxa"/>
              <w:end w:w="120" w:type="dxa"/>
            </w:tcMar>
            <w:vAlign w:val="center"/>
            <w:shd w:fill="E8EEF5"/>
          </w:tcPr>
          <w:p>
            <w:pPr>
              <w:jc w:val="right"/>
              <w:bidi w:val="1"/>
            </w:pPr>
            <w:r>
              <w:rPr>
                <w:rFonts w:ascii="Arial" w:hAnsi="Arial" w:cs="Arial"/>
                <w:b/>
                <w:color w:val="0B2545"/>
                <w:sz w:val="21"/>
                <w:rtl w:val="1"/>
              </w:rPr>
              <w:t>الوظائف الظاهرة</w:t>
            </w:r>
          </w:p>
        </w:tc>
        <w:tc>
          <w:tcPr>
            <w:tcW w:type="dxa" w:w="3000"/>
            <w:tcMar>
              <w:top w:w="80" w:type="dxa"/>
              <w:start w:w="120" w:type="dxa"/>
              <w:bottom w:w="80" w:type="dxa"/>
              <w:end w:w="120" w:type="dxa"/>
            </w:tcMar>
            <w:vAlign w:val="center"/>
            <w:shd w:fill="E8EEF5"/>
          </w:tcPr>
          <w:p>
            <w:pPr>
              <w:jc w:val="right"/>
              <w:bidi w:val="1"/>
            </w:pPr>
            <w:r>
              <w:rPr>
                <w:rFonts w:ascii="Arial" w:hAnsi="Arial" w:cs="Arial"/>
                <w:b/>
                <w:color w:val="0B2545"/>
                <w:sz w:val="21"/>
                <w:rtl w:val="1"/>
              </w:rPr>
              <w:t>القيمة التشغيلية</w:t>
            </w:r>
          </w:p>
        </w:tc>
      </w:tr>
      <w:tr>
        <w:tc>
          <w:tcPr>
            <w:tcW w:type="dxa" w:w="1800"/>
          </w:tcPr>
          <w:p>
            <w:pPr>
              <w:jc w:val="right"/>
              <w:bidi w:val="1"/>
            </w:pPr>
            <w:r>
              <w:rPr>
                <w:rFonts w:ascii="Arial" w:hAnsi="Arial" w:cs="Arial"/>
                <w:color w:val="000000"/>
                <w:sz w:val="19"/>
                <w:rtl w:val="1"/>
              </w:rPr>
              <w:t>المبيعات</w:t>
            </w:r>
          </w:p>
        </w:tc>
        <w:tc>
          <w:tcPr>
            <w:tcW w:type="dxa" w:w="4560"/>
          </w:tcPr>
          <w:p>
            <w:pPr>
              <w:jc w:val="right"/>
              <w:bidi w:val="1"/>
            </w:pPr>
            <w:r>
              <w:rPr>
                <w:rFonts w:ascii="Arial" w:hAnsi="Arial" w:cs="Arial"/>
                <w:color w:val="000000"/>
                <w:sz w:val="19"/>
                <w:rtl w:val="1"/>
              </w:rPr>
              <w:t>فاتورة مبيعات، الورديات، عرض فواتير زبون، فاتورة عرض، إيصال قبض، إرجاع مبيعات، طلبيات خارجية، لوائح الأسعار، فواتير متعارضة.</w:t>
            </w:r>
          </w:p>
        </w:tc>
        <w:tc>
          <w:tcPr>
            <w:tcW w:type="dxa" w:w="3000"/>
          </w:tcPr>
          <w:p>
            <w:pPr>
              <w:jc w:val="right"/>
              <w:bidi w:val="1"/>
            </w:pPr>
            <w:r>
              <w:rPr>
                <w:rFonts w:ascii="Arial" w:hAnsi="Arial" w:cs="Arial"/>
                <w:color w:val="000000"/>
                <w:sz w:val="19"/>
                <w:rtl w:val="1"/>
              </w:rPr>
              <w:t>تسريع دورة البيع وربطها بالإيصالات والطلبيات والرقابة على التعارضات.</w:t>
            </w:r>
          </w:p>
        </w:tc>
      </w:tr>
      <w:tr>
        <w:tc>
          <w:tcPr>
            <w:tcW w:type="dxa" w:w="1800"/>
          </w:tcPr>
          <w:p>
            <w:pPr>
              <w:jc w:val="right"/>
              <w:bidi w:val="1"/>
            </w:pPr>
            <w:r>
              <w:rPr>
                <w:rFonts w:ascii="Arial" w:hAnsi="Arial" w:cs="Arial"/>
                <w:color w:val="000000"/>
                <w:sz w:val="19"/>
                <w:rtl w:val="1"/>
              </w:rPr>
              <w:t>المشتريات</w:t>
            </w:r>
          </w:p>
        </w:tc>
        <w:tc>
          <w:tcPr>
            <w:tcW w:type="dxa" w:w="4560"/>
          </w:tcPr>
          <w:p>
            <w:pPr>
              <w:jc w:val="right"/>
              <w:bidi w:val="1"/>
            </w:pPr>
            <w:r>
              <w:rPr>
                <w:rFonts w:ascii="Arial" w:hAnsi="Arial" w:cs="Arial"/>
                <w:color w:val="000000"/>
                <w:sz w:val="19"/>
                <w:rtl w:val="1"/>
              </w:rPr>
              <w:t>فاتورة مشتريات، إرجاع مشتريات، إيصال صرف، مصنع الباركود، عرض فواتير مورد، الطلبيات القادمة.</w:t>
            </w:r>
          </w:p>
        </w:tc>
        <w:tc>
          <w:tcPr>
            <w:tcW w:type="dxa" w:w="3000"/>
          </w:tcPr>
          <w:p>
            <w:pPr>
              <w:jc w:val="right"/>
              <w:bidi w:val="1"/>
            </w:pPr>
            <w:r>
              <w:rPr>
                <w:rFonts w:ascii="Arial" w:hAnsi="Arial" w:cs="Arial"/>
                <w:color w:val="000000"/>
                <w:sz w:val="19"/>
                <w:rtl w:val="1"/>
              </w:rPr>
              <w:t>تنظيم دورة الشراء من المورد وحتى الطباعة والباركود ومتابعة الفواتير.</w:t>
            </w:r>
          </w:p>
        </w:tc>
      </w:tr>
      <w:tr>
        <w:tc>
          <w:tcPr>
            <w:tcW w:type="dxa" w:w="1800"/>
          </w:tcPr>
          <w:p>
            <w:pPr>
              <w:jc w:val="right"/>
              <w:bidi w:val="1"/>
            </w:pPr>
            <w:r>
              <w:rPr>
                <w:rFonts w:ascii="Arial" w:hAnsi="Arial" w:cs="Arial"/>
                <w:color w:val="000000"/>
                <w:sz w:val="19"/>
                <w:rtl w:val="1"/>
              </w:rPr>
              <w:t>المنتجات والأسعار</w:t>
            </w:r>
          </w:p>
        </w:tc>
        <w:tc>
          <w:tcPr>
            <w:tcW w:type="dxa" w:w="4560"/>
          </w:tcPr>
          <w:p>
            <w:pPr>
              <w:jc w:val="right"/>
              <w:bidi w:val="1"/>
            </w:pPr>
            <w:r>
              <w:rPr>
                <w:rFonts w:ascii="Arial" w:hAnsi="Arial" w:cs="Arial"/>
                <w:color w:val="000000"/>
                <w:sz w:val="19"/>
                <w:rtl w:val="1"/>
              </w:rPr>
              <w:t>التصنيفات، الأصناف، الوحدات، الملاحظات، تغيير الأسعار بقيمة أو نسبة، شاشة تعديل الأسعار، تقرير التعديل، العروض، قائمة الصلاحية.</w:t>
            </w:r>
          </w:p>
        </w:tc>
        <w:tc>
          <w:tcPr>
            <w:tcW w:type="dxa" w:w="3000"/>
          </w:tcPr>
          <w:p>
            <w:pPr>
              <w:jc w:val="right"/>
              <w:bidi w:val="1"/>
            </w:pPr>
            <w:r>
              <w:rPr>
                <w:rFonts w:ascii="Arial" w:hAnsi="Arial" w:cs="Arial"/>
                <w:color w:val="000000"/>
                <w:sz w:val="19"/>
                <w:rtl w:val="1"/>
              </w:rPr>
              <w:t>إدارة كتالوج الأصناف وأسعار البيع والتحديثات الجماعية والرقابة على الصلاحية.</w:t>
            </w:r>
          </w:p>
        </w:tc>
      </w:tr>
      <w:tr>
        <w:tc>
          <w:tcPr>
            <w:tcW w:type="dxa" w:w="1800"/>
          </w:tcPr>
          <w:p>
            <w:pPr>
              <w:jc w:val="right"/>
              <w:bidi w:val="1"/>
            </w:pPr>
            <w:r>
              <w:rPr>
                <w:rFonts w:ascii="Arial" w:hAnsi="Arial" w:cs="Arial"/>
                <w:color w:val="000000"/>
                <w:sz w:val="19"/>
                <w:rtl w:val="1"/>
              </w:rPr>
              <w:t>المخازن</w:t>
            </w:r>
          </w:p>
        </w:tc>
        <w:tc>
          <w:tcPr>
            <w:tcW w:type="dxa" w:w="4560"/>
          </w:tcPr>
          <w:p>
            <w:pPr>
              <w:jc w:val="right"/>
              <w:bidi w:val="1"/>
            </w:pPr>
            <w:r>
              <w:rPr>
                <w:rFonts w:ascii="Arial" w:hAnsi="Arial" w:cs="Arial"/>
                <w:color w:val="000000"/>
                <w:sz w:val="19"/>
                <w:rtl w:val="1"/>
              </w:rPr>
              <w:t>كشف المخزن، فاتورة جرد، فاتورة تالف، تحويل بين المخازن، قائمة جرد، أوامر مخزن، إذن صرف، إذن استلام، تسوية مخزن.</w:t>
            </w:r>
          </w:p>
        </w:tc>
        <w:tc>
          <w:tcPr>
            <w:tcW w:type="dxa" w:w="3000"/>
          </w:tcPr>
          <w:p>
            <w:pPr>
              <w:jc w:val="right"/>
              <w:bidi w:val="1"/>
            </w:pPr>
            <w:r>
              <w:rPr>
                <w:rFonts w:ascii="Arial" w:hAnsi="Arial" w:cs="Arial"/>
                <w:color w:val="000000"/>
                <w:sz w:val="19"/>
                <w:rtl w:val="1"/>
              </w:rPr>
              <w:t>متابعة الكميات والحركة المخزنية والجرد والتحويلات ومعالجة الفروقات.</w:t>
            </w:r>
          </w:p>
        </w:tc>
      </w:tr>
      <w:tr>
        <w:tc>
          <w:tcPr>
            <w:tcW w:type="dxa" w:w="1800"/>
          </w:tcPr>
          <w:p>
            <w:pPr>
              <w:jc w:val="right"/>
              <w:bidi w:val="1"/>
            </w:pPr>
            <w:r>
              <w:rPr>
                <w:rFonts w:ascii="Arial" w:hAnsi="Arial" w:cs="Arial"/>
                <w:color w:val="000000"/>
                <w:sz w:val="19"/>
                <w:rtl w:val="1"/>
              </w:rPr>
              <w:t>التصنيع</w:t>
            </w:r>
          </w:p>
        </w:tc>
        <w:tc>
          <w:tcPr>
            <w:tcW w:type="dxa" w:w="4560"/>
          </w:tcPr>
          <w:p>
            <w:pPr>
              <w:jc w:val="right"/>
              <w:bidi w:val="1"/>
            </w:pPr>
            <w:r>
              <w:rPr>
                <w:rFonts w:ascii="Arial" w:hAnsi="Arial" w:cs="Arial"/>
                <w:color w:val="000000"/>
                <w:sz w:val="19"/>
                <w:rtl w:val="1"/>
              </w:rPr>
              <w:t>تصنيع آلي وتصنيع يدوي.</w:t>
            </w:r>
          </w:p>
        </w:tc>
        <w:tc>
          <w:tcPr>
            <w:tcW w:type="dxa" w:w="3000"/>
          </w:tcPr>
          <w:p>
            <w:pPr>
              <w:jc w:val="right"/>
              <w:bidi w:val="1"/>
            </w:pPr>
            <w:r>
              <w:rPr>
                <w:rFonts w:ascii="Arial" w:hAnsi="Arial" w:cs="Arial"/>
                <w:color w:val="000000"/>
                <w:sz w:val="19"/>
                <w:rtl w:val="1"/>
              </w:rPr>
              <w:t>تحويل المواد إلى منتجات وتسجيل حركة الإنتاج ضمن النظام.</w:t>
            </w:r>
          </w:p>
        </w:tc>
      </w:tr>
      <w:tr>
        <w:tc>
          <w:tcPr>
            <w:tcW w:type="dxa" w:w="1800"/>
          </w:tcPr>
          <w:p>
            <w:pPr>
              <w:jc w:val="right"/>
              <w:bidi w:val="1"/>
            </w:pPr>
            <w:r>
              <w:rPr>
                <w:rFonts w:ascii="Arial" w:hAnsi="Arial" w:cs="Arial"/>
                <w:color w:val="000000"/>
                <w:sz w:val="19"/>
                <w:rtl w:val="1"/>
              </w:rPr>
              <w:t>المصروفات والعملاء</w:t>
            </w:r>
          </w:p>
        </w:tc>
        <w:tc>
          <w:tcPr>
            <w:tcW w:type="dxa" w:w="4560"/>
          </w:tcPr>
          <w:p>
            <w:pPr>
              <w:jc w:val="right"/>
              <w:bidi w:val="1"/>
            </w:pPr>
            <w:r>
              <w:rPr>
                <w:rFonts w:ascii="Arial" w:hAnsi="Arial" w:cs="Arial"/>
                <w:color w:val="000000"/>
                <w:sz w:val="19"/>
                <w:rtl w:val="1"/>
              </w:rPr>
              <w:t>مصروفات عامة، بطاقة العملاء.</w:t>
            </w:r>
          </w:p>
        </w:tc>
        <w:tc>
          <w:tcPr>
            <w:tcW w:type="dxa" w:w="3000"/>
          </w:tcPr>
          <w:p>
            <w:pPr>
              <w:jc w:val="right"/>
              <w:bidi w:val="1"/>
            </w:pPr>
            <w:r>
              <w:rPr>
                <w:rFonts w:ascii="Arial" w:hAnsi="Arial" w:cs="Arial"/>
                <w:color w:val="000000"/>
                <w:sz w:val="19"/>
                <w:rtl w:val="1"/>
              </w:rPr>
              <w:t>ربط المصروفات والحسابات وحركة العملاء مع العمليات اليومية.</w:t>
            </w:r>
          </w:p>
        </w:tc>
      </w:tr>
      <w:tr>
        <w:tc>
          <w:tcPr>
            <w:tcW w:type="dxa" w:w="1800"/>
          </w:tcPr>
          <w:p>
            <w:pPr>
              <w:jc w:val="right"/>
              <w:bidi w:val="1"/>
            </w:pPr>
            <w:r>
              <w:rPr>
                <w:rFonts w:ascii="Arial" w:hAnsi="Arial" w:cs="Arial"/>
                <w:color w:val="000000"/>
                <w:sz w:val="19"/>
                <w:rtl w:val="1"/>
              </w:rPr>
              <w:t>الحسابات</w:t>
            </w:r>
          </w:p>
        </w:tc>
        <w:tc>
          <w:tcPr>
            <w:tcW w:type="dxa" w:w="4560"/>
          </w:tcPr>
          <w:p>
            <w:pPr>
              <w:jc w:val="right"/>
              <w:bidi w:val="1"/>
            </w:pPr>
            <w:r>
              <w:rPr>
                <w:rFonts w:ascii="Arial" w:hAnsi="Arial" w:cs="Arial"/>
                <w:color w:val="000000"/>
                <w:sz w:val="19"/>
                <w:rtl w:val="1"/>
              </w:rPr>
              <w:t>شاشة الحسابات، الخزينة، سحب، إيداع، تحويل، تحويل حسابات، ترحيل محاسبي، متابعة تعديلات وإعادة تقييد القيود.</w:t>
            </w:r>
          </w:p>
        </w:tc>
        <w:tc>
          <w:tcPr>
            <w:tcW w:type="dxa" w:w="3000"/>
          </w:tcPr>
          <w:p>
            <w:pPr>
              <w:jc w:val="right"/>
              <w:bidi w:val="1"/>
            </w:pPr>
            <w:r>
              <w:rPr>
                <w:rFonts w:ascii="Arial" w:hAnsi="Arial" w:cs="Arial"/>
                <w:color w:val="000000"/>
                <w:sz w:val="19"/>
                <w:rtl w:val="1"/>
              </w:rPr>
              <w:t>تجميع الأثر المالي للعمليات ومراقبة الخزينة والحسابات والترحيل.</w:t>
            </w:r>
          </w:p>
        </w:tc>
      </w:tr>
      <w:tr>
        <w:tc>
          <w:tcPr>
            <w:tcW w:type="dxa" w:w="1800"/>
          </w:tcPr>
          <w:p>
            <w:pPr>
              <w:jc w:val="right"/>
              <w:bidi w:val="1"/>
            </w:pPr>
            <w:r>
              <w:rPr>
                <w:rFonts w:ascii="Arial" w:hAnsi="Arial" w:cs="Arial"/>
                <w:color w:val="000000"/>
                <w:sz w:val="19"/>
                <w:rtl w:val="1"/>
              </w:rPr>
              <w:t>التقارير</w:t>
            </w:r>
          </w:p>
        </w:tc>
        <w:tc>
          <w:tcPr>
            <w:tcW w:type="dxa" w:w="4560"/>
          </w:tcPr>
          <w:p>
            <w:pPr>
              <w:jc w:val="right"/>
              <w:bidi w:val="1"/>
            </w:pPr>
            <w:r>
              <w:rPr>
                <w:rFonts w:ascii="Arial" w:hAnsi="Arial" w:cs="Arial"/>
                <w:color w:val="000000"/>
                <w:sz w:val="19"/>
                <w:rtl w:val="1"/>
              </w:rPr>
              <w:t>التقرير العام وتقارير تفصيلية.</w:t>
            </w:r>
          </w:p>
        </w:tc>
        <w:tc>
          <w:tcPr>
            <w:tcW w:type="dxa" w:w="3000"/>
          </w:tcPr>
          <w:p>
            <w:pPr>
              <w:jc w:val="right"/>
              <w:bidi w:val="1"/>
            </w:pPr>
            <w:r>
              <w:rPr>
                <w:rFonts w:ascii="Arial" w:hAnsi="Arial" w:cs="Arial"/>
                <w:color w:val="000000"/>
                <w:sz w:val="19"/>
                <w:rtl w:val="1"/>
              </w:rPr>
              <w:t>إخراج مؤشرات مالية وتشغيلية قابلة للطباعة والمتابعة.</w:t>
            </w:r>
          </w:p>
        </w:tc>
      </w:tr>
    </w:tbl>
    <w:p>
      <w:pPr>
        <w:pStyle w:val="Heading1"/>
        <w:spacing w:before="280" w:after="120"/>
        <w:jc w:val="right"/>
        <w:bidi w:val="1"/>
      </w:pPr>
      <w:r>
        <w:rPr>
          <w:rFonts w:ascii="Arial" w:hAnsi="Arial" w:cs="Arial"/>
          <w:b/>
          <w:color w:val="2E74B5"/>
          <w:sz w:val="32"/>
          <w:rtl w:val="1"/>
        </w:rPr>
        <w:t>3. لوحة التشغيل والتنبيهات</w:t>
      </w:r>
    </w:p>
    <w:p>
      <w:pPr>
        <w:spacing w:after="120" w:before="0" w:line="276" w:lineRule="auto"/>
        <w:jc w:val="right"/>
        <w:bidi w:val="1"/>
      </w:pPr>
      <w:r>
        <w:rPr>
          <w:rFonts w:ascii="Arial" w:hAnsi="Arial" w:cs="Arial"/>
          <w:b w:val="0"/>
          <w:sz w:val="22"/>
          <w:rtl w:val="1"/>
        </w:rPr>
        <w:t>تظهر الشاشة الرئيسية كداشبورد تشغيلي، وليس مجرد قائمة شاشات. فهي تجمع حالة الاتصال، اسم قاعدة البيانات، المستخدم الحالي، حالة الخادم، اسم الشركة، الساعة والتاريخ، مع اختصارات للعمليات اليومية.</w:t>
      </w:r>
    </w:p>
    <w:p>
      <w:pPr>
        <w:pStyle w:val="ListBullet"/>
        <w:spacing w:after="80" w:line="276" w:lineRule="auto"/>
        <w:jc w:val="right"/>
        <w:bidi w:val="1"/>
      </w:pPr>
      <w:r>
        <w:rPr>
          <w:rFonts w:ascii="Arial" w:hAnsi="Arial" w:cs="Arial"/>
          <w:sz w:val="21"/>
          <w:rtl w:val="1"/>
        </w:rPr>
        <w:t>أزرار سريعة لفاتورة المبيعات، فاتورة المشتريات، عروض الأسعار، وطلبيات داخلية.</w:t>
      </w:r>
    </w:p>
    <w:p>
      <w:pPr>
        <w:pStyle w:val="ListBullet"/>
        <w:spacing w:after="80" w:line="276" w:lineRule="auto"/>
        <w:jc w:val="right"/>
        <w:bidi w:val="1"/>
      </w:pPr>
      <w:r>
        <w:rPr>
          <w:rFonts w:ascii="Arial" w:hAnsi="Arial" w:cs="Arial"/>
          <w:sz w:val="21"/>
          <w:rtl w:val="1"/>
        </w:rPr>
        <w:t>إعدادات مباشرة للطابعات: طابعة الإيصالات، طابعة A4/A5، وطابعة الباركود.</w:t>
      </w:r>
    </w:p>
    <w:p>
      <w:pPr>
        <w:pStyle w:val="ListBullet"/>
        <w:spacing w:after="80" w:line="276" w:lineRule="auto"/>
        <w:jc w:val="right"/>
        <w:bidi w:val="1"/>
      </w:pPr>
      <w:r>
        <w:rPr>
          <w:rFonts w:ascii="Arial" w:hAnsi="Arial" w:cs="Arial"/>
          <w:sz w:val="21"/>
          <w:rtl w:val="1"/>
        </w:rPr>
        <w:t>نظام تنبيهات يعمل بالخلفية عبر مؤقت و BackgroundWorker لتحديث التنبيهات دون تجميد الواجهة.</w:t>
      </w:r>
    </w:p>
    <w:p>
      <w:pPr>
        <w:pStyle w:val="ListBullet"/>
        <w:spacing w:after="80" w:line="276" w:lineRule="auto"/>
        <w:jc w:val="right"/>
        <w:bidi w:val="1"/>
      </w:pPr>
      <w:r>
        <w:rPr>
          <w:rFonts w:ascii="Arial" w:hAnsi="Arial" w:cs="Arial"/>
          <w:sz w:val="21"/>
          <w:rtl w:val="1"/>
        </w:rPr>
        <w:t>إمكانية كتم التنبيهات عند الحاجة ومتابعة آخر حالة تزامن وحالة الاتصال بالخادم.</w:t>
      </w:r>
    </w:p>
    <w:tbl>
      <w:tblPr>
        <w:tblW w:type="dxa" w:w="9360"/>
        <w:jc w:val="right"/>
        <w:tblLook w:firstColumn="1" w:firstRow="1" w:lastColumn="0" w:lastRow="0" w:noHBand="0" w:noVBand="1" w:val="04A0"/>
        <w:tblInd w:w="120" w:type="dxa"/>
        <w:tblLayout w:type="fixed"/>
      </w:tblPr>
      <w:tblGrid>
        <w:gridCol w:w="3000"/>
        <w:gridCol w:w="6360"/>
      </w:tblGrid>
      <w:tr>
        <w:tc>
          <w:tcPr>
            <w:tcW w:type="dxa" w:w="3000"/>
            <w:tcMar>
              <w:top w:w="80" w:type="dxa"/>
              <w:start w:w="120" w:type="dxa"/>
              <w:bottom w:w="80" w:type="dxa"/>
              <w:end w:w="120" w:type="dxa"/>
            </w:tcMar>
            <w:vAlign w:val="center"/>
            <w:shd w:fill="E8EEF5"/>
          </w:tcPr>
          <w:p>
            <w:pPr>
              <w:jc w:val="right"/>
              <w:bidi w:val="1"/>
            </w:pPr>
            <w:r>
              <w:rPr>
                <w:rFonts w:ascii="Arial" w:hAnsi="Arial" w:cs="Arial"/>
                <w:b/>
                <w:color w:val="0B2545"/>
                <w:sz w:val="21"/>
                <w:rtl w:val="1"/>
              </w:rPr>
              <w:t>نوع التنبيه</w:t>
            </w:r>
          </w:p>
        </w:tc>
        <w:tc>
          <w:tcPr>
            <w:tcW w:type="dxa" w:w="6360"/>
            <w:tcMar>
              <w:top w:w="80" w:type="dxa"/>
              <w:start w:w="120" w:type="dxa"/>
              <w:bottom w:w="80" w:type="dxa"/>
              <w:end w:w="120" w:type="dxa"/>
            </w:tcMar>
            <w:vAlign w:val="center"/>
            <w:shd w:fill="E8EEF5"/>
          </w:tcPr>
          <w:p>
            <w:pPr>
              <w:jc w:val="right"/>
              <w:bidi w:val="1"/>
            </w:pPr>
            <w:r>
              <w:rPr>
                <w:rFonts w:ascii="Arial" w:hAnsi="Arial" w:cs="Arial"/>
                <w:b/>
                <w:color w:val="0B2545"/>
                <w:sz w:val="21"/>
                <w:rtl w:val="1"/>
              </w:rPr>
              <w:t>الغرض</w:t>
            </w:r>
          </w:p>
        </w:tc>
      </w:tr>
      <w:tr>
        <w:tc>
          <w:tcPr>
            <w:tcW w:type="dxa" w:w="3000"/>
          </w:tcPr>
          <w:p>
            <w:pPr>
              <w:jc w:val="right"/>
              <w:bidi w:val="1"/>
            </w:pPr>
            <w:r>
              <w:rPr>
                <w:rFonts w:ascii="Arial" w:hAnsi="Arial" w:cs="Arial"/>
                <w:color w:val="000000"/>
                <w:sz w:val="19"/>
                <w:rtl w:val="1"/>
              </w:rPr>
              <w:t>وردية مفتوحة</w:t>
            </w:r>
          </w:p>
        </w:tc>
        <w:tc>
          <w:tcPr>
            <w:tcW w:type="dxa" w:w="6360"/>
          </w:tcPr>
          <w:p>
            <w:pPr>
              <w:jc w:val="right"/>
              <w:bidi w:val="1"/>
            </w:pPr>
            <w:r>
              <w:rPr>
                <w:rFonts w:ascii="Arial" w:hAnsi="Arial" w:cs="Arial"/>
                <w:color w:val="000000"/>
                <w:sz w:val="19"/>
                <w:rtl w:val="1"/>
              </w:rPr>
              <w:t>تنبيه بوجود ورديات لم تغلق بعد.</w:t>
            </w:r>
          </w:p>
        </w:tc>
      </w:tr>
      <w:tr>
        <w:tc>
          <w:tcPr>
            <w:tcW w:type="dxa" w:w="3000"/>
          </w:tcPr>
          <w:p>
            <w:pPr>
              <w:jc w:val="right"/>
              <w:bidi w:val="1"/>
            </w:pPr>
            <w:r>
              <w:rPr>
                <w:rFonts w:ascii="Arial" w:hAnsi="Arial" w:cs="Arial"/>
                <w:color w:val="000000"/>
                <w:sz w:val="19"/>
                <w:rtl w:val="1"/>
              </w:rPr>
              <w:t>ديون العملاء</w:t>
            </w:r>
          </w:p>
        </w:tc>
        <w:tc>
          <w:tcPr>
            <w:tcW w:type="dxa" w:w="6360"/>
          </w:tcPr>
          <w:p>
            <w:pPr>
              <w:jc w:val="right"/>
              <w:bidi w:val="1"/>
            </w:pPr>
            <w:r>
              <w:rPr>
                <w:rFonts w:ascii="Arial" w:hAnsi="Arial" w:cs="Arial"/>
                <w:color w:val="000000"/>
                <w:sz w:val="19"/>
                <w:rtl w:val="1"/>
              </w:rPr>
              <w:t>متابعة العملاء الذين وصلوا إلى حدود مديونية عالية.</w:t>
            </w:r>
          </w:p>
        </w:tc>
      </w:tr>
      <w:tr>
        <w:tc>
          <w:tcPr>
            <w:tcW w:type="dxa" w:w="3000"/>
          </w:tcPr>
          <w:p>
            <w:pPr>
              <w:jc w:val="right"/>
              <w:bidi w:val="1"/>
            </w:pPr>
            <w:r>
              <w:rPr>
                <w:rFonts w:ascii="Arial" w:hAnsi="Arial" w:cs="Arial"/>
                <w:color w:val="000000"/>
                <w:sz w:val="19"/>
                <w:rtl w:val="1"/>
              </w:rPr>
              <w:t>صلاحية الأصناف</w:t>
            </w:r>
          </w:p>
        </w:tc>
        <w:tc>
          <w:tcPr>
            <w:tcW w:type="dxa" w:w="6360"/>
          </w:tcPr>
          <w:p>
            <w:pPr>
              <w:jc w:val="right"/>
              <w:bidi w:val="1"/>
            </w:pPr>
            <w:r>
              <w:rPr>
                <w:rFonts w:ascii="Arial" w:hAnsi="Arial" w:cs="Arial"/>
                <w:color w:val="000000"/>
                <w:sz w:val="19"/>
                <w:rtl w:val="1"/>
              </w:rPr>
              <w:t>متابعة الأصناف القريبة من انتهاء الصلاحية أو ذات ملاحظات صلاحية.</w:t>
            </w:r>
          </w:p>
        </w:tc>
      </w:tr>
      <w:tr>
        <w:tc>
          <w:tcPr>
            <w:tcW w:type="dxa" w:w="3000"/>
          </w:tcPr>
          <w:p>
            <w:pPr>
              <w:jc w:val="right"/>
              <w:bidi w:val="1"/>
            </w:pPr>
            <w:r>
              <w:rPr>
                <w:rFonts w:ascii="Arial" w:hAnsi="Arial" w:cs="Arial"/>
                <w:color w:val="000000"/>
                <w:sz w:val="19"/>
                <w:rtl w:val="1"/>
              </w:rPr>
              <w:t>حدود الكمية</w:t>
            </w:r>
          </w:p>
        </w:tc>
        <w:tc>
          <w:tcPr>
            <w:tcW w:type="dxa" w:w="6360"/>
          </w:tcPr>
          <w:p>
            <w:pPr>
              <w:jc w:val="right"/>
              <w:bidi w:val="1"/>
            </w:pPr>
            <w:r>
              <w:rPr>
                <w:rFonts w:ascii="Arial" w:hAnsi="Arial" w:cs="Arial"/>
                <w:color w:val="000000"/>
                <w:sz w:val="19"/>
                <w:rtl w:val="1"/>
              </w:rPr>
              <w:t>تنبيه للأصناف عند الوصول إلى الحد الأدنى أو الأعلى.</w:t>
            </w:r>
          </w:p>
        </w:tc>
      </w:tr>
      <w:tr>
        <w:tc>
          <w:tcPr>
            <w:tcW w:type="dxa" w:w="3000"/>
          </w:tcPr>
          <w:p>
            <w:pPr>
              <w:jc w:val="right"/>
              <w:bidi w:val="1"/>
            </w:pPr>
            <w:r>
              <w:rPr>
                <w:rFonts w:ascii="Arial" w:hAnsi="Arial" w:cs="Arial"/>
                <w:color w:val="000000"/>
                <w:sz w:val="19"/>
                <w:rtl w:val="1"/>
              </w:rPr>
              <w:t>الفواتير المفتوحة</w:t>
            </w:r>
          </w:p>
        </w:tc>
        <w:tc>
          <w:tcPr>
            <w:tcW w:type="dxa" w:w="6360"/>
          </w:tcPr>
          <w:p>
            <w:pPr>
              <w:jc w:val="right"/>
              <w:bidi w:val="1"/>
            </w:pPr>
            <w:r>
              <w:rPr>
                <w:rFonts w:ascii="Arial" w:hAnsi="Arial" w:cs="Arial"/>
                <w:color w:val="000000"/>
                <w:sz w:val="19"/>
                <w:rtl w:val="1"/>
              </w:rPr>
              <w:t>متابعة الفواتير غير المكتملة أو المفتوحة.</w:t>
            </w:r>
          </w:p>
        </w:tc>
      </w:tr>
      <w:tr>
        <w:tc>
          <w:tcPr>
            <w:tcW w:type="dxa" w:w="3000"/>
          </w:tcPr>
          <w:p>
            <w:pPr>
              <w:jc w:val="right"/>
              <w:bidi w:val="1"/>
            </w:pPr>
            <w:r>
              <w:rPr>
                <w:rFonts w:ascii="Arial" w:hAnsi="Arial" w:cs="Arial"/>
                <w:color w:val="000000"/>
                <w:sz w:val="19"/>
                <w:rtl w:val="1"/>
              </w:rPr>
              <w:t>مخاطر البيع</w:t>
            </w:r>
          </w:p>
        </w:tc>
        <w:tc>
          <w:tcPr>
            <w:tcW w:type="dxa" w:w="6360"/>
          </w:tcPr>
          <w:p>
            <w:pPr>
              <w:jc w:val="right"/>
              <w:bidi w:val="1"/>
            </w:pPr>
            <w:r>
              <w:rPr>
                <w:rFonts w:ascii="Arial" w:hAnsi="Arial" w:cs="Arial"/>
                <w:color w:val="000000"/>
                <w:sz w:val="19"/>
                <w:rtl w:val="1"/>
              </w:rPr>
              <w:t>كشف البيع بأقل من التكلفة والكميات السالبة عند تفعيل الخيارات.</w:t>
            </w:r>
          </w:p>
        </w:tc>
      </w:tr>
      <w:tr>
        <w:tc>
          <w:tcPr>
            <w:tcW w:type="dxa" w:w="3000"/>
          </w:tcPr>
          <w:p>
            <w:pPr>
              <w:jc w:val="right"/>
              <w:bidi w:val="1"/>
            </w:pPr>
            <w:r>
              <w:rPr>
                <w:rFonts w:ascii="Arial" w:hAnsi="Arial" w:cs="Arial"/>
                <w:color w:val="000000"/>
                <w:sz w:val="19"/>
                <w:rtl w:val="1"/>
              </w:rPr>
              <w:t>البضاعة القادمة والمستأجرة</w:t>
            </w:r>
          </w:p>
        </w:tc>
        <w:tc>
          <w:tcPr>
            <w:tcW w:type="dxa" w:w="6360"/>
          </w:tcPr>
          <w:p>
            <w:pPr>
              <w:jc w:val="right"/>
              <w:bidi w:val="1"/>
            </w:pPr>
            <w:r>
              <w:rPr>
                <w:rFonts w:ascii="Arial" w:hAnsi="Arial" w:cs="Arial"/>
                <w:color w:val="000000"/>
                <w:sz w:val="19"/>
                <w:rtl w:val="1"/>
              </w:rPr>
              <w:t>إظهار الأصناف القادمة أو المؤجرة ضمن لوحة التنبيهات.</w:t>
            </w:r>
          </w:p>
        </w:tc>
      </w:tr>
    </w:tbl>
    <w:p>
      <w:r>
        <w:br w:type="page"/>
      </w:r>
    </w:p>
    <w:p>
      <w:pPr>
        <w:pStyle w:val="Heading1"/>
        <w:spacing w:before="280" w:after="120"/>
        <w:jc w:val="right"/>
        <w:bidi w:val="1"/>
      </w:pPr>
      <w:r>
        <w:rPr>
          <w:rFonts w:ascii="Arial" w:hAnsi="Arial" w:cs="Arial"/>
          <w:b/>
          <w:color w:val="2E74B5"/>
          <w:sz w:val="32"/>
          <w:rtl w:val="1"/>
        </w:rPr>
        <w:t>4. إدارة النظام من SysOptions</w:t>
      </w:r>
    </w:p>
    <w:p>
      <w:pPr>
        <w:spacing w:after="120" w:before="0" w:line="276" w:lineRule="auto"/>
        <w:jc w:val="right"/>
        <w:bidi w:val="1"/>
      </w:pPr>
      <w:r>
        <w:rPr>
          <w:rFonts w:ascii="Arial" w:hAnsi="Arial" w:cs="Arial"/>
          <w:b w:val="0"/>
          <w:sz w:val="22"/>
          <w:rtl w:val="1"/>
        </w:rPr>
        <w:t>توفر شاشة خيارات النظام مركز إدارة موحد للخصائص الفنية والإدارية. الأزرار الظاهرة تعتمد على تفعيل ميزات النظام، مما يسمح بتخصيص التجربة حسب نوع النشاط وحجم المؤسسة.</w:t>
      </w:r>
    </w:p>
    <w:tbl>
      <w:tblPr>
        <w:tblW w:type="dxa" w:w="9360"/>
        <w:jc w:val="right"/>
        <w:tblLook w:firstColumn="1" w:firstRow="1" w:lastColumn="0" w:lastRow="0" w:noHBand="0" w:noVBand="1" w:val="04A0"/>
        <w:tblInd w:w="120" w:type="dxa"/>
        <w:tblLayout w:type="fixed"/>
      </w:tblPr>
      <w:tblGrid>
        <w:gridCol w:w="3100"/>
        <w:gridCol w:w="6260"/>
      </w:tblGrid>
      <w:tr>
        <w:tc>
          <w:tcPr>
            <w:tcW w:type="dxa" w:w="3100"/>
            <w:tcMar>
              <w:top w:w="80" w:type="dxa"/>
              <w:start w:w="120" w:type="dxa"/>
              <w:bottom w:w="80" w:type="dxa"/>
              <w:end w:w="120" w:type="dxa"/>
            </w:tcMar>
            <w:vAlign w:val="center"/>
            <w:shd w:fill="E8EEF5"/>
          </w:tcPr>
          <w:p>
            <w:pPr>
              <w:jc w:val="right"/>
              <w:bidi w:val="1"/>
            </w:pPr>
            <w:r>
              <w:rPr>
                <w:rFonts w:ascii="Arial" w:hAnsi="Arial" w:cs="Arial"/>
                <w:b/>
                <w:color w:val="0B2545"/>
                <w:sz w:val="21"/>
                <w:rtl w:val="1"/>
              </w:rPr>
              <w:t>الخيار</w:t>
            </w:r>
          </w:p>
        </w:tc>
        <w:tc>
          <w:tcPr>
            <w:tcW w:type="dxa" w:w="6260"/>
            <w:tcMar>
              <w:top w:w="80" w:type="dxa"/>
              <w:start w:w="120" w:type="dxa"/>
              <w:bottom w:w="80" w:type="dxa"/>
              <w:end w:w="120" w:type="dxa"/>
            </w:tcMar>
            <w:vAlign w:val="center"/>
            <w:shd w:fill="E8EEF5"/>
          </w:tcPr>
          <w:p>
            <w:pPr>
              <w:jc w:val="right"/>
              <w:bidi w:val="1"/>
            </w:pPr>
            <w:r>
              <w:rPr>
                <w:rFonts w:ascii="Arial" w:hAnsi="Arial" w:cs="Arial"/>
                <w:b/>
                <w:color w:val="0B2545"/>
                <w:sz w:val="21"/>
                <w:rtl w:val="1"/>
              </w:rPr>
              <w:t>الأثر الفني والإداري</w:t>
            </w:r>
          </w:p>
        </w:tc>
      </w:tr>
      <w:tr>
        <w:tc>
          <w:tcPr>
            <w:tcW w:type="dxa" w:w="3100"/>
          </w:tcPr>
          <w:p>
            <w:pPr>
              <w:jc w:val="right"/>
              <w:bidi w:val="1"/>
            </w:pPr>
            <w:r>
              <w:rPr>
                <w:rFonts w:ascii="Arial" w:hAnsi="Arial" w:cs="Arial"/>
                <w:color w:val="000000"/>
                <w:sz w:val="19"/>
                <w:rtl w:val="1"/>
              </w:rPr>
              <w:t>الإعدادات العامة</w:t>
            </w:r>
          </w:p>
        </w:tc>
        <w:tc>
          <w:tcPr>
            <w:tcW w:type="dxa" w:w="6260"/>
          </w:tcPr>
          <w:p>
            <w:pPr>
              <w:jc w:val="right"/>
              <w:bidi w:val="1"/>
            </w:pPr>
            <w:r>
              <w:rPr>
                <w:rFonts w:ascii="Arial" w:hAnsi="Arial" w:cs="Arial"/>
                <w:color w:val="000000"/>
                <w:sz w:val="19"/>
                <w:rtl w:val="1"/>
              </w:rPr>
              <w:t>تعديل إعدادات الفواتير والسلوك العام للنظام.</w:t>
            </w:r>
          </w:p>
        </w:tc>
      </w:tr>
      <w:tr>
        <w:tc>
          <w:tcPr>
            <w:tcW w:type="dxa" w:w="3100"/>
          </w:tcPr>
          <w:p>
            <w:pPr>
              <w:jc w:val="right"/>
              <w:bidi w:val="1"/>
            </w:pPr>
            <w:r>
              <w:rPr>
                <w:rFonts w:ascii="Arial" w:hAnsi="Arial" w:cs="Arial"/>
                <w:color w:val="000000"/>
                <w:sz w:val="19"/>
                <w:rtl w:val="1"/>
              </w:rPr>
              <w:t>إدارة المستخدمين وصلاحيات النظام</w:t>
            </w:r>
          </w:p>
        </w:tc>
        <w:tc>
          <w:tcPr>
            <w:tcW w:type="dxa" w:w="6260"/>
          </w:tcPr>
          <w:p>
            <w:pPr>
              <w:jc w:val="right"/>
              <w:bidi w:val="1"/>
            </w:pPr>
            <w:r>
              <w:rPr>
                <w:rFonts w:ascii="Arial" w:hAnsi="Arial" w:cs="Arial"/>
                <w:color w:val="000000"/>
                <w:sz w:val="19"/>
                <w:rtl w:val="1"/>
              </w:rPr>
              <w:t>إنشاء المستخدمين وربطهم بصلاحيات تشغيل تفصيلية.</w:t>
            </w:r>
          </w:p>
        </w:tc>
      </w:tr>
      <w:tr>
        <w:tc>
          <w:tcPr>
            <w:tcW w:type="dxa" w:w="3100"/>
          </w:tcPr>
          <w:p>
            <w:pPr>
              <w:jc w:val="right"/>
              <w:bidi w:val="1"/>
            </w:pPr>
            <w:r>
              <w:rPr>
                <w:rFonts w:ascii="Arial" w:hAnsi="Arial" w:cs="Arial"/>
                <w:color w:val="000000"/>
                <w:sz w:val="19"/>
                <w:rtl w:val="1"/>
              </w:rPr>
              <w:t>إعدادات السيرفر</w:t>
            </w:r>
          </w:p>
        </w:tc>
        <w:tc>
          <w:tcPr>
            <w:tcW w:type="dxa" w:w="6260"/>
          </w:tcPr>
          <w:p>
            <w:pPr>
              <w:jc w:val="right"/>
              <w:bidi w:val="1"/>
            </w:pPr>
            <w:r>
              <w:rPr>
                <w:rFonts w:ascii="Arial" w:hAnsi="Arial" w:cs="Arial"/>
                <w:color w:val="000000"/>
                <w:sz w:val="19"/>
                <w:rtl w:val="1"/>
              </w:rPr>
              <w:t>ضبط اسم السيرفر ونوع المصادقة وقاعدة البيانات.</w:t>
            </w:r>
          </w:p>
        </w:tc>
      </w:tr>
      <w:tr>
        <w:tc>
          <w:tcPr>
            <w:tcW w:type="dxa" w:w="3100"/>
          </w:tcPr>
          <w:p>
            <w:pPr>
              <w:jc w:val="right"/>
              <w:bidi w:val="1"/>
            </w:pPr>
            <w:r>
              <w:rPr>
                <w:rFonts w:ascii="Arial" w:hAnsi="Arial" w:cs="Arial"/>
                <w:color w:val="000000"/>
                <w:sz w:val="19"/>
                <w:rtl w:val="1"/>
              </w:rPr>
              <w:t>النسخ الاحتياطي</w:t>
            </w:r>
          </w:p>
        </w:tc>
        <w:tc>
          <w:tcPr>
            <w:tcW w:type="dxa" w:w="6260"/>
          </w:tcPr>
          <w:p>
            <w:pPr>
              <w:jc w:val="right"/>
              <w:bidi w:val="1"/>
            </w:pPr>
            <w:r>
              <w:rPr>
                <w:rFonts w:ascii="Arial" w:hAnsi="Arial" w:cs="Arial"/>
                <w:color w:val="000000"/>
                <w:sz w:val="19"/>
                <w:rtl w:val="1"/>
              </w:rPr>
              <w:t>توفير نقطة إدارة للنسخ الاحتياطي وحماية البيانات.</w:t>
            </w:r>
          </w:p>
        </w:tc>
      </w:tr>
      <w:tr>
        <w:tc>
          <w:tcPr>
            <w:tcW w:type="dxa" w:w="3100"/>
          </w:tcPr>
          <w:p>
            <w:pPr>
              <w:jc w:val="right"/>
              <w:bidi w:val="1"/>
            </w:pPr>
            <w:r>
              <w:rPr>
                <w:rFonts w:ascii="Arial" w:hAnsi="Arial" w:cs="Arial"/>
                <w:color w:val="000000"/>
                <w:sz w:val="19"/>
                <w:rtl w:val="1"/>
              </w:rPr>
              <w:t>إدارة المخازن</w:t>
            </w:r>
          </w:p>
        </w:tc>
        <w:tc>
          <w:tcPr>
            <w:tcW w:type="dxa" w:w="6260"/>
          </w:tcPr>
          <w:p>
            <w:pPr>
              <w:jc w:val="right"/>
              <w:bidi w:val="1"/>
            </w:pPr>
            <w:r>
              <w:rPr>
                <w:rFonts w:ascii="Arial" w:hAnsi="Arial" w:cs="Arial"/>
                <w:color w:val="000000"/>
                <w:sz w:val="19"/>
                <w:rtl w:val="1"/>
              </w:rPr>
              <w:t>تعريف المخازن وربطها بحركة الأصناف.</w:t>
            </w:r>
          </w:p>
        </w:tc>
      </w:tr>
      <w:tr>
        <w:tc>
          <w:tcPr>
            <w:tcW w:type="dxa" w:w="3100"/>
          </w:tcPr>
          <w:p>
            <w:pPr>
              <w:jc w:val="right"/>
              <w:bidi w:val="1"/>
            </w:pPr>
            <w:r>
              <w:rPr>
                <w:rFonts w:ascii="Arial" w:hAnsi="Arial" w:cs="Arial"/>
                <w:color w:val="000000"/>
                <w:sz w:val="19"/>
                <w:rtl w:val="1"/>
              </w:rPr>
              <w:t>إدارة الربط المحاسبي</w:t>
            </w:r>
          </w:p>
        </w:tc>
        <w:tc>
          <w:tcPr>
            <w:tcW w:type="dxa" w:w="6260"/>
          </w:tcPr>
          <w:p>
            <w:pPr>
              <w:jc w:val="right"/>
              <w:bidi w:val="1"/>
            </w:pPr>
            <w:r>
              <w:rPr>
                <w:rFonts w:ascii="Arial" w:hAnsi="Arial" w:cs="Arial"/>
                <w:color w:val="000000"/>
                <w:sz w:val="19"/>
                <w:rtl w:val="1"/>
              </w:rPr>
              <w:t>ربط الكيانات والحسابات العامة ومتابعة روابط الحسابات.</w:t>
            </w:r>
          </w:p>
        </w:tc>
      </w:tr>
      <w:tr>
        <w:tc>
          <w:tcPr>
            <w:tcW w:type="dxa" w:w="3100"/>
          </w:tcPr>
          <w:p>
            <w:pPr>
              <w:jc w:val="right"/>
              <w:bidi w:val="1"/>
            </w:pPr>
            <w:r>
              <w:rPr>
                <w:rFonts w:ascii="Arial" w:hAnsi="Arial" w:cs="Arial"/>
                <w:color w:val="000000"/>
                <w:sz w:val="19"/>
                <w:rtl w:val="1"/>
              </w:rPr>
              <w:t>حسابات الدفع الافتراضية</w:t>
            </w:r>
          </w:p>
        </w:tc>
        <w:tc>
          <w:tcPr>
            <w:tcW w:type="dxa" w:w="6260"/>
          </w:tcPr>
          <w:p>
            <w:pPr>
              <w:jc w:val="right"/>
              <w:bidi w:val="1"/>
            </w:pPr>
            <w:r>
              <w:rPr>
                <w:rFonts w:ascii="Arial" w:hAnsi="Arial" w:cs="Arial"/>
                <w:color w:val="000000"/>
                <w:sz w:val="19"/>
                <w:rtl w:val="1"/>
              </w:rPr>
              <w:t>تحديد الحسابات الافتراضية لتسهيل القيود والدفع.</w:t>
            </w:r>
          </w:p>
        </w:tc>
      </w:tr>
      <w:tr>
        <w:tc>
          <w:tcPr>
            <w:tcW w:type="dxa" w:w="3100"/>
          </w:tcPr>
          <w:p>
            <w:pPr>
              <w:jc w:val="right"/>
              <w:bidi w:val="1"/>
            </w:pPr>
            <w:r>
              <w:rPr>
                <w:rFonts w:ascii="Arial" w:hAnsi="Arial" w:cs="Arial"/>
                <w:color w:val="000000"/>
                <w:sz w:val="19"/>
                <w:rtl w:val="1"/>
              </w:rPr>
              <w:t>بطاقة المصروفات ومصروفات المشتريات</w:t>
            </w:r>
          </w:p>
        </w:tc>
        <w:tc>
          <w:tcPr>
            <w:tcW w:type="dxa" w:w="6260"/>
          </w:tcPr>
          <w:p>
            <w:pPr>
              <w:jc w:val="right"/>
              <w:bidi w:val="1"/>
            </w:pPr>
            <w:r>
              <w:rPr>
                <w:rFonts w:ascii="Arial" w:hAnsi="Arial" w:cs="Arial"/>
                <w:color w:val="000000"/>
                <w:sz w:val="19"/>
                <w:rtl w:val="1"/>
              </w:rPr>
              <w:t>تعريف أنواع المصروفات وربط مصروفات الشراء.</w:t>
            </w:r>
          </w:p>
        </w:tc>
      </w:tr>
      <w:tr>
        <w:tc>
          <w:tcPr>
            <w:tcW w:type="dxa" w:w="3100"/>
          </w:tcPr>
          <w:p>
            <w:pPr>
              <w:jc w:val="right"/>
              <w:bidi w:val="1"/>
            </w:pPr>
            <w:r>
              <w:rPr>
                <w:rFonts w:ascii="Arial" w:hAnsi="Arial" w:cs="Arial"/>
                <w:color w:val="000000"/>
                <w:sz w:val="19"/>
                <w:rtl w:val="1"/>
              </w:rPr>
              <w:t>بطاقة الخزينة</w:t>
            </w:r>
          </w:p>
        </w:tc>
        <w:tc>
          <w:tcPr>
            <w:tcW w:type="dxa" w:w="6260"/>
          </w:tcPr>
          <w:p>
            <w:pPr>
              <w:jc w:val="right"/>
              <w:bidi w:val="1"/>
            </w:pPr>
            <w:r>
              <w:rPr>
                <w:rFonts w:ascii="Arial" w:hAnsi="Arial" w:cs="Arial"/>
                <w:color w:val="000000"/>
                <w:sz w:val="19"/>
                <w:rtl w:val="1"/>
              </w:rPr>
              <w:t>إدارة حسابات الخزينة المستخدمة في السحب والإيداع والتحويل.</w:t>
            </w:r>
          </w:p>
        </w:tc>
      </w:tr>
      <w:tr>
        <w:tc>
          <w:tcPr>
            <w:tcW w:type="dxa" w:w="3100"/>
          </w:tcPr>
          <w:p>
            <w:pPr>
              <w:jc w:val="right"/>
              <w:bidi w:val="1"/>
            </w:pPr>
            <w:r>
              <w:rPr>
                <w:rFonts w:ascii="Arial" w:hAnsi="Arial" w:cs="Arial"/>
                <w:color w:val="000000"/>
                <w:sz w:val="19"/>
                <w:rtl w:val="1"/>
              </w:rPr>
              <w:t>اختصارات سريعة</w:t>
            </w:r>
          </w:p>
        </w:tc>
        <w:tc>
          <w:tcPr>
            <w:tcW w:type="dxa" w:w="6260"/>
          </w:tcPr>
          <w:p>
            <w:pPr>
              <w:jc w:val="right"/>
              <w:bidi w:val="1"/>
            </w:pPr>
            <w:r>
              <w:rPr>
                <w:rFonts w:ascii="Arial" w:hAnsi="Arial" w:cs="Arial"/>
                <w:color w:val="000000"/>
                <w:sz w:val="19"/>
                <w:rtl w:val="1"/>
              </w:rPr>
              <w:t>تخصيص أزرار الوصول السريع في شاشة التشغيل.</w:t>
            </w:r>
          </w:p>
        </w:tc>
      </w:tr>
      <w:tr>
        <w:tc>
          <w:tcPr>
            <w:tcW w:type="dxa" w:w="3100"/>
          </w:tcPr>
          <w:p>
            <w:pPr>
              <w:jc w:val="right"/>
              <w:bidi w:val="1"/>
            </w:pPr>
            <w:r>
              <w:rPr>
                <w:rFonts w:ascii="Arial" w:hAnsi="Arial" w:cs="Arial"/>
                <w:color w:val="000000"/>
                <w:sz w:val="19"/>
                <w:rtl w:val="1"/>
              </w:rPr>
              <w:t>صالة الطاولات وطابعات فرعية</w:t>
            </w:r>
          </w:p>
        </w:tc>
        <w:tc>
          <w:tcPr>
            <w:tcW w:type="dxa" w:w="6260"/>
          </w:tcPr>
          <w:p>
            <w:pPr>
              <w:jc w:val="right"/>
              <w:bidi w:val="1"/>
            </w:pPr>
            <w:r>
              <w:rPr>
                <w:rFonts w:ascii="Arial" w:hAnsi="Arial" w:cs="Arial"/>
                <w:color w:val="000000"/>
                <w:sz w:val="19"/>
                <w:rtl w:val="1"/>
              </w:rPr>
              <w:t>دعم نشاط المطاعم والطاولات والطباعة المتعددة عند التفعيل.</w:t>
            </w:r>
          </w:p>
        </w:tc>
      </w:tr>
      <w:tr>
        <w:tc>
          <w:tcPr>
            <w:tcW w:type="dxa" w:w="3100"/>
          </w:tcPr>
          <w:p>
            <w:pPr>
              <w:jc w:val="right"/>
              <w:bidi w:val="1"/>
            </w:pPr>
            <w:r>
              <w:rPr>
                <w:rFonts w:ascii="Arial" w:hAnsi="Arial" w:cs="Arial"/>
                <w:color w:val="000000"/>
                <w:sz w:val="19"/>
                <w:rtl w:val="1"/>
              </w:rPr>
              <w:t>مراقبة الشبكة ومسح السجلات</w:t>
            </w:r>
          </w:p>
        </w:tc>
        <w:tc>
          <w:tcPr>
            <w:tcW w:type="dxa" w:w="6260"/>
          </w:tcPr>
          <w:p>
            <w:pPr>
              <w:jc w:val="right"/>
              <w:bidi w:val="1"/>
            </w:pPr>
            <w:r>
              <w:rPr>
                <w:rFonts w:ascii="Arial" w:hAnsi="Arial" w:cs="Arial"/>
                <w:color w:val="000000"/>
                <w:sz w:val="19"/>
                <w:rtl w:val="1"/>
              </w:rPr>
              <w:t>متابعة الحركة الشبكية وإدارة تنظيف السجلات وفق الصلاحيات.</w:t>
            </w:r>
          </w:p>
        </w:tc>
      </w:tr>
      <w:tr>
        <w:tc>
          <w:tcPr>
            <w:tcW w:type="dxa" w:w="3100"/>
          </w:tcPr>
          <w:p>
            <w:pPr>
              <w:jc w:val="right"/>
              <w:bidi w:val="1"/>
            </w:pPr>
            <w:r>
              <w:rPr>
                <w:rFonts w:ascii="Arial" w:hAnsi="Arial" w:cs="Arial"/>
                <w:color w:val="000000"/>
                <w:sz w:val="19"/>
                <w:rtl w:val="1"/>
              </w:rPr>
              <w:t>مناطق السفر والمسوقين وأنواع العملاء</w:t>
            </w:r>
          </w:p>
        </w:tc>
        <w:tc>
          <w:tcPr>
            <w:tcW w:type="dxa" w:w="6260"/>
          </w:tcPr>
          <w:p>
            <w:pPr>
              <w:jc w:val="right"/>
              <w:bidi w:val="1"/>
            </w:pPr>
            <w:r>
              <w:rPr>
                <w:rFonts w:ascii="Arial" w:hAnsi="Arial" w:cs="Arial"/>
                <w:color w:val="000000"/>
                <w:sz w:val="19"/>
                <w:rtl w:val="1"/>
              </w:rPr>
              <w:t>خصائص تشغيلية قابلة للتفعيل حسب طبيعة النشاط.</w:t>
            </w:r>
          </w:p>
        </w:tc>
      </w:tr>
    </w:tbl>
    <w:p>
      <w:pPr>
        <w:pStyle w:val="Heading1"/>
        <w:spacing w:before="280" w:after="120"/>
        <w:jc w:val="right"/>
        <w:bidi w:val="1"/>
      </w:pPr>
      <w:r>
        <w:rPr>
          <w:rFonts w:ascii="Arial" w:hAnsi="Arial" w:cs="Arial"/>
          <w:b/>
          <w:color w:val="2E74B5"/>
          <w:sz w:val="32"/>
          <w:rtl w:val="1"/>
        </w:rPr>
        <w:t>5. الصلاحيات والحوكمة</w:t>
      </w:r>
    </w:p>
    <w:p>
      <w:pPr>
        <w:spacing w:after="120" w:before="0" w:line="276" w:lineRule="auto"/>
        <w:jc w:val="right"/>
        <w:bidi w:val="1"/>
      </w:pPr>
      <w:r>
        <w:rPr>
          <w:rFonts w:ascii="Arial" w:hAnsi="Arial" w:cs="Arial"/>
          <w:b w:val="0"/>
          <w:sz w:val="22"/>
          <w:rtl w:val="1"/>
        </w:rPr>
        <w:t>يعتمد النظام على قراءة صلاحيات المستخدم من Users_Validations_V، ثم تفعيل أو تعطيل الأزرار والوظائف وفق الصلاحية. هذا يجعل كل مستخدم يرى ما يخص دوره فقط ويحد من العمليات الحساسة.</w:t>
      </w:r>
    </w:p>
    <w:tbl>
      <w:tblPr>
        <w:tblW w:type="dxa" w:w="9360"/>
        <w:jc w:val="right"/>
        <w:tblLook w:firstColumn="1" w:firstRow="1" w:lastColumn="0" w:lastRow="0" w:noHBand="0" w:noVBand="1" w:val="04A0"/>
        <w:tblInd w:w="120" w:type="dxa"/>
        <w:tblLayout w:type="fixed"/>
      </w:tblPr>
      <w:tblGrid>
        <w:gridCol w:w="3100"/>
        <w:gridCol w:w="6260"/>
      </w:tblGrid>
      <w:tr>
        <w:tc>
          <w:tcPr>
            <w:tcW w:type="dxa" w:w="3100"/>
            <w:tcMar>
              <w:top w:w="80" w:type="dxa"/>
              <w:start w:w="120" w:type="dxa"/>
              <w:bottom w:w="80" w:type="dxa"/>
              <w:end w:w="120" w:type="dxa"/>
            </w:tcMar>
            <w:vAlign w:val="center"/>
            <w:shd w:fill="E8EEF5"/>
          </w:tcPr>
          <w:p>
            <w:pPr>
              <w:jc w:val="right"/>
              <w:bidi w:val="1"/>
            </w:pPr>
            <w:r>
              <w:rPr>
                <w:rFonts w:ascii="Arial" w:hAnsi="Arial" w:cs="Arial"/>
                <w:b/>
                <w:color w:val="0B2545"/>
                <w:sz w:val="21"/>
                <w:rtl w:val="1"/>
              </w:rPr>
              <w:t>مجال الصلاحية</w:t>
            </w:r>
          </w:p>
        </w:tc>
        <w:tc>
          <w:tcPr>
            <w:tcW w:type="dxa" w:w="6260"/>
            <w:tcMar>
              <w:top w:w="80" w:type="dxa"/>
              <w:start w:w="120" w:type="dxa"/>
              <w:bottom w:w="80" w:type="dxa"/>
              <w:end w:w="120" w:type="dxa"/>
            </w:tcMar>
            <w:vAlign w:val="center"/>
            <w:shd w:fill="E8EEF5"/>
          </w:tcPr>
          <w:p>
            <w:pPr>
              <w:jc w:val="right"/>
              <w:bidi w:val="1"/>
            </w:pPr>
            <w:r>
              <w:rPr>
                <w:rFonts w:ascii="Arial" w:hAnsi="Arial" w:cs="Arial"/>
                <w:b/>
                <w:color w:val="0B2545"/>
                <w:sz w:val="21"/>
                <w:rtl w:val="1"/>
              </w:rPr>
              <w:t>ما يتم التحكم به</w:t>
            </w:r>
          </w:p>
        </w:tc>
      </w:tr>
      <w:tr>
        <w:tc>
          <w:tcPr>
            <w:tcW w:type="dxa" w:w="3100"/>
          </w:tcPr>
          <w:p>
            <w:pPr>
              <w:jc w:val="right"/>
              <w:bidi w:val="1"/>
            </w:pPr>
            <w:r>
              <w:rPr>
                <w:rFonts w:ascii="Arial" w:hAnsi="Arial" w:cs="Arial"/>
                <w:color w:val="000000"/>
                <w:sz w:val="19"/>
                <w:rtl w:val="1"/>
              </w:rPr>
              <w:t>صلاحيات البيع والشراء</w:t>
            </w:r>
          </w:p>
        </w:tc>
        <w:tc>
          <w:tcPr>
            <w:tcW w:type="dxa" w:w="6260"/>
          </w:tcPr>
          <w:p>
            <w:pPr>
              <w:jc w:val="right"/>
              <w:bidi w:val="1"/>
            </w:pPr>
            <w:r>
              <w:rPr>
                <w:rFonts w:ascii="Arial" w:hAnsi="Arial" w:cs="Arial"/>
                <w:color w:val="000000"/>
                <w:sz w:val="19"/>
                <w:rtl w:val="1"/>
              </w:rPr>
              <w:t>فتح أو منع شاشات البيع والشراء والإيصالات والإرجاعات.</w:t>
            </w:r>
          </w:p>
        </w:tc>
      </w:tr>
      <w:tr>
        <w:tc>
          <w:tcPr>
            <w:tcW w:type="dxa" w:w="3100"/>
          </w:tcPr>
          <w:p>
            <w:pPr>
              <w:jc w:val="right"/>
              <w:bidi w:val="1"/>
            </w:pPr>
            <w:r>
              <w:rPr>
                <w:rFonts w:ascii="Arial" w:hAnsi="Arial" w:cs="Arial"/>
                <w:color w:val="000000"/>
                <w:sz w:val="19"/>
                <w:rtl w:val="1"/>
              </w:rPr>
              <w:t>صلاحيات التعديل والإلغاء</w:t>
            </w:r>
          </w:p>
        </w:tc>
        <w:tc>
          <w:tcPr>
            <w:tcW w:type="dxa" w:w="6260"/>
          </w:tcPr>
          <w:p>
            <w:pPr>
              <w:jc w:val="right"/>
              <w:bidi w:val="1"/>
            </w:pPr>
            <w:r>
              <w:rPr>
                <w:rFonts w:ascii="Arial" w:hAnsi="Arial" w:cs="Arial"/>
                <w:color w:val="000000"/>
                <w:sz w:val="19"/>
                <w:rtl w:val="1"/>
              </w:rPr>
              <w:t>التحكم في إلغاء المبيعات والمشتريات والإيصالات والمصروفات والتعديل عليها.</w:t>
            </w:r>
          </w:p>
        </w:tc>
      </w:tr>
      <w:tr>
        <w:tc>
          <w:tcPr>
            <w:tcW w:type="dxa" w:w="3100"/>
          </w:tcPr>
          <w:p>
            <w:pPr>
              <w:jc w:val="right"/>
              <w:bidi w:val="1"/>
            </w:pPr>
            <w:r>
              <w:rPr>
                <w:rFonts w:ascii="Arial" w:hAnsi="Arial" w:cs="Arial"/>
                <w:color w:val="000000"/>
                <w:sz w:val="19"/>
                <w:rtl w:val="1"/>
              </w:rPr>
              <w:t>صلاحيات المخزون</w:t>
            </w:r>
          </w:p>
        </w:tc>
        <w:tc>
          <w:tcPr>
            <w:tcW w:type="dxa" w:w="6260"/>
          </w:tcPr>
          <w:p>
            <w:pPr>
              <w:jc w:val="right"/>
              <w:bidi w:val="1"/>
            </w:pPr>
            <w:r>
              <w:rPr>
                <w:rFonts w:ascii="Arial" w:hAnsi="Arial" w:cs="Arial"/>
                <w:color w:val="000000"/>
                <w:sz w:val="19"/>
                <w:rtl w:val="1"/>
              </w:rPr>
              <w:t>التحكم في كشف المخزن والجرد والتالف والتحويل وتحديث الكمية.</w:t>
            </w:r>
          </w:p>
        </w:tc>
      </w:tr>
      <w:tr>
        <w:tc>
          <w:tcPr>
            <w:tcW w:type="dxa" w:w="3100"/>
          </w:tcPr>
          <w:p>
            <w:pPr>
              <w:jc w:val="right"/>
              <w:bidi w:val="1"/>
            </w:pPr>
            <w:r>
              <w:rPr>
                <w:rFonts w:ascii="Arial" w:hAnsi="Arial" w:cs="Arial"/>
                <w:color w:val="000000"/>
                <w:sz w:val="19"/>
                <w:rtl w:val="1"/>
              </w:rPr>
              <w:t>صلاحيات الأسعار والتكلفة</w:t>
            </w:r>
          </w:p>
        </w:tc>
        <w:tc>
          <w:tcPr>
            <w:tcW w:type="dxa" w:w="6260"/>
          </w:tcPr>
          <w:p>
            <w:pPr>
              <w:jc w:val="right"/>
              <w:bidi w:val="1"/>
            </w:pPr>
            <w:r>
              <w:rPr>
                <w:rFonts w:ascii="Arial" w:hAnsi="Arial" w:cs="Arial"/>
                <w:color w:val="000000"/>
                <w:sz w:val="19"/>
                <w:rtl w:val="1"/>
              </w:rPr>
              <w:t>التحكم في الخصم، البيع تحت التكلفة، البيع تحت حد السعر، وإظهار التكلفة أو النقدية.</w:t>
            </w:r>
          </w:p>
        </w:tc>
      </w:tr>
      <w:tr>
        <w:tc>
          <w:tcPr>
            <w:tcW w:type="dxa" w:w="3100"/>
          </w:tcPr>
          <w:p>
            <w:pPr>
              <w:jc w:val="right"/>
              <w:bidi w:val="1"/>
            </w:pPr>
            <w:r>
              <w:rPr>
                <w:rFonts w:ascii="Arial" w:hAnsi="Arial" w:cs="Arial"/>
                <w:color w:val="000000"/>
                <w:sz w:val="19"/>
                <w:rtl w:val="1"/>
              </w:rPr>
              <w:t>صلاحيات الحسابات والخزينة</w:t>
            </w:r>
          </w:p>
        </w:tc>
        <w:tc>
          <w:tcPr>
            <w:tcW w:type="dxa" w:w="6260"/>
          </w:tcPr>
          <w:p>
            <w:pPr>
              <w:jc w:val="right"/>
              <w:bidi w:val="1"/>
            </w:pPr>
            <w:r>
              <w:rPr>
                <w:rFonts w:ascii="Arial" w:hAnsi="Arial" w:cs="Arial"/>
                <w:color w:val="000000"/>
                <w:sz w:val="19"/>
                <w:rtl w:val="1"/>
              </w:rPr>
              <w:t>التحكم في السحب والإيداع والتحويل وإخفاء الخزن غير المرتبطة.</w:t>
            </w:r>
          </w:p>
        </w:tc>
      </w:tr>
      <w:tr>
        <w:tc>
          <w:tcPr>
            <w:tcW w:type="dxa" w:w="3100"/>
          </w:tcPr>
          <w:p>
            <w:pPr>
              <w:jc w:val="right"/>
              <w:bidi w:val="1"/>
            </w:pPr>
            <w:r>
              <w:rPr>
                <w:rFonts w:ascii="Arial" w:hAnsi="Arial" w:cs="Arial"/>
                <w:color w:val="000000"/>
                <w:sz w:val="19"/>
                <w:rtl w:val="1"/>
              </w:rPr>
              <w:t>صلاحيات الإدارة</w:t>
            </w:r>
          </w:p>
        </w:tc>
        <w:tc>
          <w:tcPr>
            <w:tcW w:type="dxa" w:w="6260"/>
          </w:tcPr>
          <w:p>
            <w:pPr>
              <w:jc w:val="right"/>
              <w:bidi w:val="1"/>
            </w:pPr>
            <w:r>
              <w:rPr>
                <w:rFonts w:ascii="Arial" w:hAnsi="Arial" w:cs="Arial"/>
                <w:color w:val="000000"/>
                <w:sz w:val="19"/>
                <w:rtl w:val="1"/>
              </w:rPr>
              <w:t>قصر شاشة إدارة النظام على المدير أو المستخدم المخول.</w:t>
            </w:r>
          </w:p>
        </w:tc>
      </w:tr>
    </w:tbl>
    <w:p>
      <w:pPr>
        <w:pStyle w:val="Heading1"/>
        <w:spacing w:before="280" w:after="120"/>
        <w:jc w:val="right"/>
        <w:bidi w:val="1"/>
      </w:pPr>
      <w:r>
        <w:rPr>
          <w:rFonts w:ascii="Arial" w:hAnsi="Arial" w:cs="Arial"/>
          <w:b/>
          <w:color w:val="2E74B5"/>
          <w:sz w:val="32"/>
          <w:rtl w:val="1"/>
        </w:rPr>
        <w:t>6. التكامل المحاسبي والمخزني</w:t>
      </w:r>
    </w:p>
    <w:p>
      <w:pPr>
        <w:spacing w:after="120" w:before="0" w:line="276" w:lineRule="auto"/>
        <w:jc w:val="right"/>
        <w:bidi w:val="1"/>
      </w:pPr>
      <w:r>
        <w:rPr>
          <w:rFonts w:ascii="Arial" w:hAnsi="Arial" w:cs="Arial"/>
          <w:b w:val="0"/>
          <w:sz w:val="22"/>
          <w:rtl w:val="1"/>
        </w:rPr>
        <w:t>تتضح قوة النظام من الربط بين الفاتورة والحساب والمخزن. فالمبيعات والمشتريات والإرجاعات والتالف والجرد والتحويلات لا تعمل كجزر منفصلة، بل تنتج أثرًا على المخزون والحسابات والتقارير.</w:t>
      </w:r>
    </w:p>
    <w:p>
      <w:pPr>
        <w:pStyle w:val="ListBullet"/>
        <w:spacing w:after="80" w:line="276" w:lineRule="auto"/>
        <w:jc w:val="right"/>
        <w:bidi w:val="1"/>
      </w:pPr>
      <w:r>
        <w:rPr>
          <w:rFonts w:ascii="Arial" w:hAnsi="Arial" w:cs="Arial"/>
          <w:sz w:val="21"/>
          <w:rtl w:val="1"/>
        </w:rPr>
        <w:t>متابعة تعديلات وإعادة تقييد القيود المحاسبية من الشاشة الرئيسية.</w:t>
      </w:r>
    </w:p>
    <w:p>
      <w:pPr>
        <w:pStyle w:val="ListBullet"/>
        <w:spacing w:after="80" w:line="276" w:lineRule="auto"/>
        <w:jc w:val="right"/>
        <w:bidi w:val="1"/>
      </w:pPr>
      <w:r>
        <w:rPr>
          <w:rFonts w:ascii="Arial" w:hAnsi="Arial" w:cs="Arial"/>
          <w:sz w:val="21"/>
          <w:rtl w:val="1"/>
        </w:rPr>
        <w:t>إدارة ربط الحسابات العامة وروابط الكيانات المحاسبية من SysOptions.</w:t>
      </w:r>
    </w:p>
    <w:p>
      <w:pPr>
        <w:pStyle w:val="ListBullet"/>
        <w:spacing w:after="80" w:line="276" w:lineRule="auto"/>
        <w:jc w:val="right"/>
        <w:bidi w:val="1"/>
      </w:pPr>
      <w:r>
        <w:rPr>
          <w:rFonts w:ascii="Arial" w:hAnsi="Arial" w:cs="Arial"/>
          <w:sz w:val="21"/>
          <w:rtl w:val="1"/>
        </w:rPr>
        <w:t>دعم حسابات الدفع الافتراضية لتقليل الإدخال اليدوي وتحسين دقة القيود.</w:t>
      </w:r>
    </w:p>
    <w:p>
      <w:pPr>
        <w:pStyle w:val="ListBullet"/>
        <w:spacing w:after="80" w:line="276" w:lineRule="auto"/>
        <w:jc w:val="right"/>
        <w:bidi w:val="1"/>
      </w:pPr>
      <w:r>
        <w:rPr>
          <w:rFonts w:ascii="Arial" w:hAnsi="Arial" w:cs="Arial"/>
          <w:sz w:val="21"/>
          <w:rtl w:val="1"/>
        </w:rPr>
        <w:t>شاشات الخزينة والتحويلات تدعم مسارًا واضحًا للحركة النقدية.</w:t>
      </w:r>
    </w:p>
    <w:p>
      <w:r>
        <w:br w:type="page"/>
      </w:r>
    </w:p>
    <w:p>
      <w:pPr>
        <w:pStyle w:val="Heading1"/>
        <w:spacing w:before="280" w:after="120"/>
        <w:jc w:val="right"/>
        <w:bidi w:val="1"/>
      </w:pPr>
      <w:r>
        <w:rPr>
          <w:rFonts w:ascii="Arial" w:hAnsi="Arial" w:cs="Arial"/>
          <w:b/>
          <w:color w:val="2E74B5"/>
          <w:sz w:val="32"/>
          <w:rtl w:val="1"/>
        </w:rPr>
        <w:t>7. التقارير والطباعة</w:t>
      </w:r>
    </w:p>
    <w:p>
      <w:pPr>
        <w:spacing w:after="120" w:before="0" w:line="276" w:lineRule="auto"/>
        <w:jc w:val="right"/>
        <w:bidi w:val="1"/>
      </w:pPr>
      <w:r>
        <w:rPr>
          <w:rFonts w:ascii="Arial" w:hAnsi="Arial" w:cs="Arial"/>
          <w:b w:val="0"/>
          <w:sz w:val="22"/>
          <w:rtl w:val="1"/>
        </w:rPr>
        <w:t>يوفر النظام طبقة تقارير من الشاشة الرئيسية عبر التقرير العام والتقارير التفصيلية، إضافة إلى إعدادات طباعة مباشرة داخل الداشبورد. هذا يسمح بتجهيز بيئة تشغيل مناسبة للإيصالات والفواتير والتقارير والباركود.</w:t>
      </w:r>
    </w:p>
    <w:p>
      <w:pPr>
        <w:pStyle w:val="ListBullet"/>
        <w:spacing w:after="80" w:line="276" w:lineRule="auto"/>
        <w:jc w:val="right"/>
        <w:bidi w:val="1"/>
      </w:pPr>
      <w:r>
        <w:rPr>
          <w:rFonts w:ascii="Arial" w:hAnsi="Arial" w:cs="Arial"/>
          <w:sz w:val="21"/>
          <w:rtl w:val="1"/>
        </w:rPr>
        <w:t>التقرير العام لتلخيص المؤشرات الأساسية.</w:t>
      </w:r>
    </w:p>
    <w:p>
      <w:pPr>
        <w:pStyle w:val="ListBullet"/>
        <w:spacing w:after="80" w:line="276" w:lineRule="auto"/>
        <w:jc w:val="right"/>
        <w:bidi w:val="1"/>
      </w:pPr>
      <w:r>
        <w:rPr>
          <w:rFonts w:ascii="Arial" w:hAnsi="Arial" w:cs="Arial"/>
          <w:sz w:val="21"/>
          <w:rtl w:val="1"/>
        </w:rPr>
        <w:t>تقارير تفصيلية لدعم المتابعة والتحليل.</w:t>
      </w:r>
    </w:p>
    <w:p>
      <w:pPr>
        <w:pStyle w:val="ListBullet"/>
        <w:spacing w:after="80" w:line="276" w:lineRule="auto"/>
        <w:jc w:val="right"/>
        <w:bidi w:val="1"/>
      </w:pPr>
      <w:r>
        <w:rPr>
          <w:rFonts w:ascii="Arial" w:hAnsi="Arial" w:cs="Arial"/>
          <w:sz w:val="21"/>
          <w:rtl w:val="1"/>
        </w:rPr>
        <w:t>تعريف طابعة الإيصالات وطابعة A4/A5 وطابعة الباركود من الشاشة الرئيسية.</w:t>
      </w:r>
    </w:p>
    <w:p>
      <w:pPr>
        <w:pStyle w:val="ListBullet"/>
        <w:spacing w:after="80" w:line="276" w:lineRule="auto"/>
        <w:jc w:val="right"/>
        <w:bidi w:val="1"/>
      </w:pPr>
      <w:r>
        <w:rPr>
          <w:rFonts w:ascii="Arial" w:hAnsi="Arial" w:cs="Arial"/>
          <w:sz w:val="21"/>
          <w:rtl w:val="1"/>
        </w:rPr>
        <w:t>مصنع باركود ضمن المشتريات لتسهيل طباعة ملصقات الأصناف.</w:t>
      </w:r>
    </w:p>
    <w:p>
      <w:pPr>
        <w:pStyle w:val="Heading1"/>
        <w:spacing w:before="280" w:after="120"/>
        <w:jc w:val="right"/>
        <w:bidi w:val="1"/>
      </w:pPr>
      <w:r>
        <w:rPr>
          <w:rFonts w:ascii="Arial" w:hAnsi="Arial" w:cs="Arial"/>
          <w:b/>
          <w:color w:val="2E74B5"/>
          <w:sz w:val="32"/>
          <w:rtl w:val="1"/>
        </w:rPr>
        <w:t>8. القيمة الفنية للنظام</w:t>
      </w:r>
    </w:p>
    <w:tbl>
      <w:tblPr>
        <w:tblW w:type="dxa" w:w="9360"/>
        <w:jc w:val="right"/>
        <w:tblLook w:firstColumn="1" w:firstRow="1" w:lastColumn="0" w:lastRow="0" w:noHBand="0" w:noVBand="1" w:val="04A0"/>
        <w:tblInd w:w="120" w:type="dxa"/>
        <w:tblLayout w:type="fixed"/>
      </w:tblPr>
      <w:tblGrid>
        <w:gridCol w:w="2800"/>
        <w:gridCol w:w="6560"/>
      </w:tblGrid>
      <w:tr>
        <w:tc>
          <w:tcPr>
            <w:tcW w:type="dxa" w:w="2800"/>
            <w:tcMar>
              <w:top w:w="80" w:type="dxa"/>
              <w:start w:w="120" w:type="dxa"/>
              <w:bottom w:w="80" w:type="dxa"/>
              <w:end w:w="120" w:type="dxa"/>
            </w:tcMar>
            <w:vAlign w:val="center"/>
            <w:shd w:fill="E8EEF5"/>
          </w:tcPr>
          <w:p>
            <w:pPr>
              <w:jc w:val="right"/>
              <w:bidi w:val="1"/>
            </w:pPr>
            <w:r>
              <w:rPr>
                <w:rFonts w:ascii="Arial" w:hAnsi="Arial" w:cs="Arial"/>
                <w:b/>
                <w:color w:val="0B2545"/>
                <w:sz w:val="21"/>
                <w:rtl w:val="1"/>
              </w:rPr>
              <w:t>الميزة</w:t>
            </w:r>
          </w:p>
        </w:tc>
        <w:tc>
          <w:tcPr>
            <w:tcW w:type="dxa" w:w="6560"/>
            <w:tcMar>
              <w:top w:w="80" w:type="dxa"/>
              <w:start w:w="120" w:type="dxa"/>
              <w:bottom w:w="80" w:type="dxa"/>
              <w:end w:w="120" w:type="dxa"/>
            </w:tcMar>
            <w:vAlign w:val="center"/>
            <w:shd w:fill="E8EEF5"/>
          </w:tcPr>
          <w:p>
            <w:pPr>
              <w:jc w:val="right"/>
              <w:bidi w:val="1"/>
            </w:pPr>
            <w:r>
              <w:rPr>
                <w:rFonts w:ascii="Arial" w:hAnsi="Arial" w:cs="Arial"/>
                <w:b/>
                <w:color w:val="0B2545"/>
                <w:sz w:val="21"/>
                <w:rtl w:val="1"/>
              </w:rPr>
              <w:t>القيمة المتحققة</w:t>
            </w:r>
          </w:p>
        </w:tc>
      </w:tr>
      <w:tr>
        <w:tc>
          <w:tcPr>
            <w:tcW w:type="dxa" w:w="2800"/>
          </w:tcPr>
          <w:p>
            <w:pPr>
              <w:jc w:val="right"/>
              <w:bidi w:val="1"/>
            </w:pPr>
            <w:r>
              <w:rPr>
                <w:rFonts w:ascii="Arial" w:hAnsi="Arial" w:cs="Arial"/>
                <w:color w:val="000000"/>
                <w:sz w:val="19"/>
                <w:rtl w:val="1"/>
              </w:rPr>
              <w:t>توحيد التشغيل</w:t>
            </w:r>
          </w:p>
        </w:tc>
        <w:tc>
          <w:tcPr>
            <w:tcW w:type="dxa" w:w="6560"/>
          </w:tcPr>
          <w:p>
            <w:pPr>
              <w:jc w:val="right"/>
              <w:bidi w:val="1"/>
            </w:pPr>
            <w:r>
              <w:rPr>
                <w:rFonts w:ascii="Arial" w:hAnsi="Arial" w:cs="Arial"/>
                <w:color w:val="000000"/>
                <w:sz w:val="19"/>
                <w:rtl w:val="1"/>
              </w:rPr>
              <w:t>كل العمليات الأساسية متاحة من نافذة رئيسية واحدة، مما يقلل التنقل والتشتت.</w:t>
            </w:r>
          </w:p>
        </w:tc>
      </w:tr>
      <w:tr>
        <w:tc>
          <w:tcPr>
            <w:tcW w:type="dxa" w:w="2800"/>
          </w:tcPr>
          <w:p>
            <w:pPr>
              <w:jc w:val="right"/>
              <w:bidi w:val="1"/>
            </w:pPr>
            <w:r>
              <w:rPr>
                <w:rFonts w:ascii="Arial" w:hAnsi="Arial" w:cs="Arial"/>
                <w:color w:val="000000"/>
                <w:sz w:val="19"/>
                <w:rtl w:val="1"/>
              </w:rPr>
              <w:t>تحكم إداري</w:t>
            </w:r>
          </w:p>
        </w:tc>
        <w:tc>
          <w:tcPr>
            <w:tcW w:type="dxa" w:w="6560"/>
          </w:tcPr>
          <w:p>
            <w:pPr>
              <w:jc w:val="right"/>
              <w:bidi w:val="1"/>
            </w:pPr>
            <w:r>
              <w:rPr>
                <w:rFonts w:ascii="Arial" w:hAnsi="Arial" w:cs="Arial"/>
                <w:color w:val="000000"/>
                <w:sz w:val="19"/>
                <w:rtl w:val="1"/>
              </w:rPr>
              <w:t>صلاحيات تفصيلية وخيارات نظام قابلة للتفعيل أو الإخفاء حسب نشاط المنشأة.</w:t>
            </w:r>
          </w:p>
        </w:tc>
      </w:tr>
      <w:tr>
        <w:tc>
          <w:tcPr>
            <w:tcW w:type="dxa" w:w="2800"/>
          </w:tcPr>
          <w:p>
            <w:pPr>
              <w:jc w:val="right"/>
              <w:bidi w:val="1"/>
            </w:pPr>
            <w:r>
              <w:rPr>
                <w:rFonts w:ascii="Arial" w:hAnsi="Arial" w:cs="Arial"/>
                <w:color w:val="000000"/>
                <w:sz w:val="19"/>
                <w:rtl w:val="1"/>
              </w:rPr>
              <w:t>رقابة لحظية</w:t>
            </w:r>
          </w:p>
        </w:tc>
        <w:tc>
          <w:tcPr>
            <w:tcW w:type="dxa" w:w="6560"/>
          </w:tcPr>
          <w:p>
            <w:pPr>
              <w:jc w:val="right"/>
              <w:bidi w:val="1"/>
            </w:pPr>
            <w:r>
              <w:rPr>
                <w:rFonts w:ascii="Arial" w:hAnsi="Arial" w:cs="Arial"/>
                <w:color w:val="000000"/>
                <w:sz w:val="19"/>
                <w:rtl w:val="1"/>
              </w:rPr>
              <w:t>تنبيهات للمديونية والصلاحية والكميات والفواتير المفتوحة والمخاطر التشغيلية.</w:t>
            </w:r>
          </w:p>
        </w:tc>
      </w:tr>
      <w:tr>
        <w:tc>
          <w:tcPr>
            <w:tcW w:type="dxa" w:w="2800"/>
          </w:tcPr>
          <w:p>
            <w:pPr>
              <w:jc w:val="right"/>
              <w:bidi w:val="1"/>
            </w:pPr>
            <w:r>
              <w:rPr>
                <w:rFonts w:ascii="Arial" w:hAnsi="Arial" w:cs="Arial"/>
                <w:color w:val="000000"/>
                <w:sz w:val="19"/>
                <w:rtl w:val="1"/>
              </w:rPr>
              <w:t>جاهزية للمطاعم والتجارة</w:t>
            </w:r>
          </w:p>
        </w:tc>
        <w:tc>
          <w:tcPr>
            <w:tcW w:type="dxa" w:w="6560"/>
          </w:tcPr>
          <w:p>
            <w:pPr>
              <w:jc w:val="right"/>
              <w:bidi w:val="1"/>
            </w:pPr>
            <w:r>
              <w:rPr>
                <w:rFonts w:ascii="Arial" w:hAnsi="Arial" w:cs="Arial"/>
                <w:color w:val="000000"/>
                <w:sz w:val="19"/>
                <w:rtl w:val="1"/>
              </w:rPr>
              <w:t>دعم الطاولات والطلبيات والوردية والمخازن والباركود والرحلات حسب التفعيل.</w:t>
            </w:r>
          </w:p>
        </w:tc>
      </w:tr>
      <w:tr>
        <w:tc>
          <w:tcPr>
            <w:tcW w:type="dxa" w:w="2800"/>
          </w:tcPr>
          <w:p>
            <w:pPr>
              <w:jc w:val="right"/>
              <w:bidi w:val="1"/>
            </w:pPr>
            <w:r>
              <w:rPr>
                <w:rFonts w:ascii="Arial" w:hAnsi="Arial" w:cs="Arial"/>
                <w:color w:val="000000"/>
                <w:sz w:val="19"/>
                <w:rtl w:val="1"/>
              </w:rPr>
              <w:t>قابلية توسع</w:t>
            </w:r>
          </w:p>
        </w:tc>
        <w:tc>
          <w:tcPr>
            <w:tcW w:type="dxa" w:w="6560"/>
          </w:tcPr>
          <w:p>
            <w:pPr>
              <w:jc w:val="right"/>
              <w:bidi w:val="1"/>
            </w:pPr>
            <w:r>
              <w:rPr>
                <w:rFonts w:ascii="Arial" w:hAnsi="Arial" w:cs="Arial"/>
                <w:color w:val="000000"/>
                <w:sz w:val="19"/>
                <w:rtl w:val="1"/>
              </w:rPr>
              <w:t>وجود إعدادات السيرفر والنسخ الاحتياطي والربط المحاسبي يجعل النظام مناسبًا للبيئات متعددة المستخدمين.</w:t>
            </w:r>
          </w:p>
        </w:tc>
      </w:tr>
      <w:tr>
        <w:tc>
          <w:tcPr>
            <w:tcW w:type="dxa" w:w="2800"/>
          </w:tcPr>
          <w:p>
            <w:pPr>
              <w:jc w:val="right"/>
              <w:bidi w:val="1"/>
            </w:pPr>
            <w:r>
              <w:rPr>
                <w:rFonts w:ascii="Arial" w:hAnsi="Arial" w:cs="Arial"/>
                <w:color w:val="000000"/>
                <w:sz w:val="19"/>
                <w:rtl w:val="1"/>
              </w:rPr>
              <w:t>تقليل الأخطاء</w:t>
            </w:r>
          </w:p>
        </w:tc>
        <w:tc>
          <w:tcPr>
            <w:tcW w:type="dxa" w:w="6560"/>
          </w:tcPr>
          <w:p>
            <w:pPr>
              <w:jc w:val="right"/>
              <w:bidi w:val="1"/>
            </w:pPr>
            <w:r>
              <w:rPr>
                <w:rFonts w:ascii="Arial" w:hAnsi="Arial" w:cs="Arial"/>
                <w:color w:val="000000"/>
                <w:sz w:val="19"/>
                <w:rtl w:val="1"/>
              </w:rPr>
              <w:t>التكامل بين المخزون والحسابات والطباعة والصلاحيات يقلل الإدخال اليدوي والعمليات الخارجة عن المسار.</w:t>
            </w:r>
          </w:p>
        </w:tc>
      </w:tr>
    </w:tbl>
    <w:p>
      <w:pPr>
        <w:pStyle w:val="Heading1"/>
        <w:spacing w:before="280" w:after="120"/>
        <w:jc w:val="right"/>
        <w:bidi w:val="1"/>
      </w:pPr>
      <w:r>
        <w:rPr>
          <w:rFonts w:ascii="Arial" w:hAnsi="Arial" w:cs="Arial"/>
          <w:b/>
          <w:color w:val="2E74B5"/>
          <w:sz w:val="32"/>
          <w:rtl w:val="1"/>
        </w:rPr>
        <w:t>9. نطاق عرض مقترح للعميل</w:t>
      </w:r>
    </w:p>
    <w:p>
      <w:pPr>
        <w:spacing w:after="120" w:before="0" w:line="276" w:lineRule="auto"/>
        <w:jc w:val="right"/>
        <w:bidi w:val="1"/>
      </w:pPr>
      <w:r>
        <w:rPr>
          <w:rFonts w:ascii="Arial" w:hAnsi="Arial" w:cs="Arial"/>
          <w:b w:val="0"/>
          <w:sz w:val="22"/>
          <w:rtl w:val="1"/>
        </w:rPr>
        <w:t>يمكن تقديم النظام للعميل على أنه حل تشغيلي ومحاسبي متكامل لإدارة نقاط البيع والمخزون والحسابات، مع إمكانية ضبط الصلاحيات والطابعات والتنبيهات بما يناسب حجم النشاط.</w:t>
      </w:r>
    </w:p>
    <w:p>
      <w:pPr>
        <w:pStyle w:val="ListBullet"/>
        <w:spacing w:after="80" w:line="276" w:lineRule="auto"/>
        <w:jc w:val="right"/>
        <w:bidi w:val="1"/>
      </w:pPr>
      <w:r>
        <w:rPr>
          <w:rFonts w:ascii="Arial" w:hAnsi="Arial" w:cs="Arial"/>
          <w:sz w:val="21"/>
          <w:rtl w:val="1"/>
        </w:rPr>
        <w:t>تهيئة قاعدة البيانات والسيرفر والطابعات.</w:t>
      </w:r>
    </w:p>
    <w:p>
      <w:pPr>
        <w:pStyle w:val="ListBullet"/>
        <w:spacing w:after="80" w:line="276" w:lineRule="auto"/>
        <w:jc w:val="right"/>
        <w:bidi w:val="1"/>
      </w:pPr>
      <w:r>
        <w:rPr>
          <w:rFonts w:ascii="Arial" w:hAnsi="Arial" w:cs="Arial"/>
          <w:sz w:val="21"/>
          <w:rtl w:val="1"/>
        </w:rPr>
        <w:t>تعريف المستخدمين والصلاحيات والمخازن والحسابات الافتراضية.</w:t>
      </w:r>
    </w:p>
    <w:p>
      <w:pPr>
        <w:pStyle w:val="ListBullet"/>
        <w:spacing w:after="80" w:line="276" w:lineRule="auto"/>
        <w:jc w:val="right"/>
        <w:bidi w:val="1"/>
      </w:pPr>
      <w:r>
        <w:rPr>
          <w:rFonts w:ascii="Arial" w:hAnsi="Arial" w:cs="Arial"/>
          <w:sz w:val="21"/>
          <w:rtl w:val="1"/>
        </w:rPr>
        <w:t>إدخال الأصناف والوحدات والتصنيفات والأسعار.</w:t>
      </w:r>
    </w:p>
    <w:p>
      <w:pPr>
        <w:pStyle w:val="ListBullet"/>
        <w:spacing w:after="80" w:line="276" w:lineRule="auto"/>
        <w:jc w:val="right"/>
        <w:bidi w:val="1"/>
      </w:pPr>
      <w:r>
        <w:rPr>
          <w:rFonts w:ascii="Arial" w:hAnsi="Arial" w:cs="Arial"/>
          <w:sz w:val="21"/>
          <w:rtl w:val="1"/>
        </w:rPr>
        <w:t>تشغيل دورة البيع والشراء والمخزون والتقارير.</w:t>
      </w:r>
    </w:p>
    <w:p>
      <w:pPr>
        <w:pStyle w:val="ListBullet"/>
        <w:spacing w:after="80" w:line="276" w:lineRule="auto"/>
        <w:jc w:val="right"/>
        <w:bidi w:val="1"/>
      </w:pPr>
      <w:r>
        <w:rPr>
          <w:rFonts w:ascii="Arial" w:hAnsi="Arial" w:cs="Arial"/>
          <w:sz w:val="21"/>
          <w:rtl w:val="1"/>
        </w:rPr>
        <w:t>تدريب المستخدمين على الداشبورد والتنبيهات والشاشات الأكثر استخدامًا.</w:t>
      </w:r>
    </w:p>
    <w:tbl>
      <w:tblPr>
        <w:tblW w:type="dxa" w:w="9360"/>
        <w:jc w:val="right"/>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vAlign w:val="center"/>
            <w:shd w:fill="F4F6F9"/>
          </w:tcPr>
          <w:p>
            <w:pPr>
              <w:jc w:val="right"/>
              <w:bidi w:val="1"/>
            </w:pPr>
            <w:r>
              <w:rPr>
                <w:rFonts w:ascii="Arial" w:hAnsi="Arial" w:cs="Arial"/>
                <w:b/>
                <w:color w:val="0B2545"/>
                <w:sz w:val="24"/>
                <w:rtl w:val="1"/>
              </w:rPr>
              <w:t>الخلاصة</w:t>
            </w:r>
            <w:r>
              <w:rPr>
                <w:rtl w:val="1"/>
              </w:rPr>
              <w:br/>
            </w:r>
            <w:r>
              <w:rPr>
                <w:rFonts w:ascii="Arial" w:hAnsi="Arial" w:cs="Arial"/>
                <w:color w:val="0B2545"/>
                <w:sz w:val="21"/>
                <w:rtl w:val="1"/>
              </w:rPr>
              <w:t>CPOS ليس شاشة فواتير فقط؛ بل منظومة تشغيل مترابطة تجمع نقطة البيع، المخزون، الحسابات، التقارير، الصلاحيات، والتنبيهات في بيئة واحدة قابلة للتخصيص حسب نشاط العميل.</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Arial" w:hAnsi="Arial" w:cs="Arial"/>
        <w:color w:val="666666"/>
        <w:sz w:val="17"/>
        <w:rtl w:val="1"/>
      </w:rPr>
      <w:t>العرض الفني لنظام CPOS لإدارة المبيعات والمخزون</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عرض فني لنظام CPOS</dc:title>
  <dc:subject>نظام المبيعات وإدارة المخزون</dc:subject>
  <dc:creator>Codex</dc:creator>
  <cp:keywords>CPOS, Sales, Inventory, Accounting, SysOptions, MainForm</cp:keywords>
  <dc:description>generated by python-docx</dc:description>
  <cp:lastModifiedBy/>
  <cp:revision>1</cp:revision>
  <dcterms:created xsi:type="dcterms:W3CDTF">2013-12-23T23:15:00Z</dcterms:created>
  <dcterms:modified xsi:type="dcterms:W3CDTF">2013-12-23T23:15:00Z</dcterms:modified>
  <cp:category/>
</cp:coreProperties>
</file>