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Standard"/>
      </w:pPr>
      <w:r>
        <w:rPr>
          <w:rFonts w:ascii="Montserrat" w:hAnsi="Montserrat"/>
          <w:b/>
          <w:sz w:val="40"/>
        </w:rPr>
        <w:t>Functional Specification</w:t>
      </w:r>
      <w:r>
        <w:rPr>
          <w:rFonts w:ascii="Montserrat" w:hAnsi="Montserrat"/>
          <w:b/>
          <w:sz w:val="40"/>
        </w:rPr>
        <w:t>(</w:t>
      </w:r>
      <w:r>
        <w:rPr>
          <w:rFonts w:ascii="Montserrat" w:hAnsi="Montserrat"/>
          <w:b/>
          <w:sz w:val="40"/>
        </w:rPr>
        <w:t>F</w:t>
      </w:r>
      <w:r>
        <w:rPr>
          <w:rFonts w:ascii="Montserrat" w:hAnsi="Montserrat"/>
          <w:b/>
          <w:sz w:val="40"/>
        </w:rPr>
        <w:t>S)</w:t>
      </w:r>
    </w:p>
    <w:p/>
    <w:p/>
    <w:p>
      <w:pPr>
        <w:pStyle w:val="Standard"/>
      </w:pPr>
      <w:r>
        <w:rPr/>
        <w:t>Qualification number</w:t>
      </w:r>
      <w:r>
        <w:rPr/>
        <w:t>:</w:t>
      </w:r>
      <w:r>
        <w:rPr/>
        <w:t>Qualifying amount</w:t>
      </w:r>
      <w:r>
        <w:rPr/>
        <w:t>.</w:t>
      </w:r>
    </w:p>
    <w:p>
      <w:pPr>
        <w:pStyle w:val="Standard"/>
      </w:pPr>
      <w:r>
        <w:rPr/>
        <w:t>Qualification system:</w:t>
      </w:r>
      <w:r>
        <w:rPr/>
        <w:t>Heading</w:t>
      </w:r>
    </w:p>
    <w:p>
      <w:pPr>
        <w:pStyle w:val="Standard"/>
      </w:pPr>
      <w:r>
        <w:rPr/>
        <w:t>Document No:</w:t>
      </w:r>
      <w:r>
        <w:rPr/>
        <w:t>Quality</w:t>
      </w:r>
      <w:r>
        <w:rPr/>
        <w:t>FS</w:t>
      </w:r>
      <w:r>
        <w:rPr/>
        <w:t>.000</w:t>
      </w:r>
    </w:p>
    <w:p/>
    <w:p/>
    <w:p/>
    <w:p>
      <w:pPr>
        <w:pStyle w:val="Standard"/>
      </w:pPr>
      <w:r>
        <w:rPr>
          <w:rFonts w:ascii="Montserrat" w:hAnsi="Montserrat"/>
          <w:sz w:val="20"/>
        </w:rPr>
        <w:t>Created</w:t>
      </w:r>
      <w:r>
        <w:rPr>
          <w:rFonts w:ascii="Montserrat" w:hAnsi="Montserrat"/>
          <w:sz w:val="20"/>
        </w:rPr>
        <w:t>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(xxx)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 Function</w:t>
      </w:r>
      <w:r>
        <w:rPr>
          <w:rFonts w:ascii="Montserrat" w:hAnsi="Montserrat"/>
          <w:sz w:val="20"/>
        </w:rPr>
        <w:t>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>
      <w:pPr>
        <w:pStyle w:val="Standard"/>
      </w:pPr>
      <w:r>
        <w:rPr>
          <w:rFonts w:ascii="Montserrat" w:hAnsi="Montserrat"/>
          <w:sz w:val="20"/>
        </w:rPr>
        <w:t>Checked: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Process manager</w:t>
      </w:r>
    </w:p>
    <w:p>
      <w:pPr>
        <w:pStyle w:val="Standard"/>
      </w:pPr>
      <w:r>
        <w:rPr>
          <w:rFonts w:ascii="Montserrat" w:hAnsi="Montserrat"/>
          <w:sz w:val="20"/>
        </w:rPr>
        <w:t>Operator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Name/function 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Checked: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(xxx)</w:t>
      </w:r>
    </w:p>
    <w:p>
      <w:pPr>
        <w:pStyle w:val="Standard"/>
      </w:pPr>
      <w:r>
        <w:rPr>
          <w:rFonts w:ascii="Montserrat" w:hAnsi="Montserrat"/>
          <w:sz w:val="20"/>
        </w:rPr>
        <w:t>Name/function 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Approved: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Quality assurance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 Function (company)</w:t>
      </w:r>
      <w:r>
        <w:rPr>
          <w:rFonts w:ascii="Montserrat" w:hAnsi="Montserrat"/>
          <w:sz w:val="20"/>
        </w:rPr>
        <w:t>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/>
    <w:p>
      <w:pPr>
        <w:pStyle w:val="Standard"/>
      </w:pPr>
      <w:r>
        <w:rPr>
          <w:rFonts w:ascii="Montserrat" w:hAnsi="Montserrat"/>
        </w:rPr>
        <w:t>Table of Contents</w:t>
      </w:r>
    </w:p>
    <w:p/>
    <w:p/>
    <w:p/>
    <w:p/>
    <w:p>
      <w:pPr>
        <w:pStyle w:val="Standard"/>
      </w:pPr>
      <w:r>
        <w:rPr>
          <w:rFonts w:ascii="Montserrat" w:hAnsi="Montserrat"/>
          <w:sz w:val="20"/>
        </w:rPr>
        <w:t>Change index</w:t>
      </w:r>
    </w:p>
    <w:tbl>
      <w:tblPr>
        <w:tblStyle w:val="NormaleTabelle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Revision No</w:t>
            </w:r>
          </w:p>
        </w:tc>
        <w:tc>
          <w:tcPr>
            <w:tcW w:type="dxa" w:w="2880"/>
          </w:tcPr>
          <w:p>
            <w:r>
              <w:t>Reason for amendment</w:t>
            </w:r>
          </w:p>
        </w:tc>
        <w:tc>
          <w:tcPr>
            <w:tcW w:type="dxa" w:w="2880"/>
          </w:tcPr>
          <w:p>
            <w:r>
              <w:t>Date (dd/mm/yyyy)</w:t>
            </w:r>
          </w:p>
        </w:tc>
      </w:tr>
      <w:tr>
        <w:tc>
          <w:tcPr>
            <w:tcW w:type="dxa" w:w="2880"/>
          </w:tcPr>
          <w:p>
            <w:r>
              <w:t>01</w:t>
            </w:r>
          </w:p>
        </w:tc>
        <w:tc>
          <w:tcPr>
            <w:tcW w:type="dxa" w:w="2880"/>
          </w:tcPr>
          <w:p>
            <w:r>
              <w:t>Creation</w:t>
            </w:r>
          </w:p>
        </w:tc>
        <w:tc>
          <w:tcPr>
            <w:tcW w:type="dxa" w:w="2880"/>
          </w:tcPr>
          <w:p>
            <w:r>
              <w:t>20.03.2025</w:t>
            </w:r>
          </w:p>
        </w:tc>
      </w:tr>
    </w:tbl>
    <w:p>
      <w:pPr>
        <w:pStyle w:val="berschrift1"/>
      </w:pPr>
      <w:r>
        <w:rPr/>
        <w:t>Purpose</w:t>
      </w:r>
    </w:p>
    <w:p>
      <w:pPr>
        <w:pStyle w:val="Standard"/>
      </w:pPr>
      <w:r>
        <w:rPr>
          <w:rFonts w:ascii="Montserrat" w:hAnsi="Montserrat"/>
          <w:sz w:val="20"/>
        </w:rPr>
        <w:t>In the specification, the potential supplier shall describe:</w:t>
      </w:r>
      <w:r>
        <w:rPr>
          <w:rFonts w:ascii="Montserrat" w:hAnsi="Montserrat"/>
          <w:b/>
          <w:sz w:val="20"/>
        </w:rPr>
        <w:t>whether</w:t>
      </w: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b/>
          <w:sz w:val="20"/>
        </w:rPr>
        <w:t>how</w:t>
      </w:r>
      <w:r>
        <w:rPr>
          <w:rFonts w:ascii="Montserrat" w:hAnsi="Montserrat"/>
          <w:sz w:val="20"/>
        </w:rPr>
        <w:t>the requirements of the specifications are implemented.</w:t>
      </w:r>
    </w:p>
    <w:p>
      <w:pPr>
        <w:pStyle w:val="berschrift1"/>
      </w:pPr>
      <w:r>
        <w:rPr>
          <w:rFonts w:ascii="Montserrat" w:hAnsi="Montserrat"/>
          <w:b w:val="0"/>
        </w:rPr>
        <w:t>Detailed requirements for individual rooms (space conditions) are defined in the space book and attached to this document (see Annex 1).</w:t>
      </w:r>
    </w:p>
    <w:p/>
    <w:p>
      <w:pPr>
        <w:pStyle w:val="berschrift1"/>
      </w:pPr>
      <w:r>
        <w:rPr/>
        <w:t>Mission</w:t>
      </w:r>
      <w:r>
        <w:rPr/>
        <w:t>Area</w:t>
      </w:r>
    </w:p>
    <w:p>
      <w:pPr>
        <w:pStyle w:val="Standard"/>
      </w:pPr>
      <w:r>
        <w:rPr>
          <w:rFonts w:ascii="Montserrat" w:hAnsi="Montserrat"/>
          <w:sz w:val="20"/>
        </w:rPr>
        <w:t>With these</w:t>
      </w:r>
      <w:r>
        <w:rPr>
          <w:rFonts w:ascii="Montserrat" w:hAnsi="Montserrat"/>
          <w:sz w:val="20"/>
        </w:rPr>
        <w:t>m</w:t>
      </w:r>
      <w:r>
        <w:rPr>
          <w:rFonts w:ascii="Montserrat" w:hAnsi="Montserrat"/>
          <w:sz w:val="20"/>
        </w:rPr>
        <w:t>Specifications</w:t>
      </w:r>
      <w:r>
        <w:rPr>
          <w:rFonts w:ascii="Montserrat" w:hAnsi="Montserrat"/>
          <w:sz w:val="20"/>
        </w:rPr>
        <w:t>the requirements for:</w:t>
      </w: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affected</w:t>
      </w:r>
      <w:r>
        <w:rPr>
          <w:rFonts w:ascii="Montserrat" w:hAnsi="Montserrat"/>
          <w:sz w:val="20"/>
        </w:rPr>
        <w:t>Premises</w:t>
      </w:r>
      <w:r>
        <w:rPr>
          <w:rFonts w:ascii="Montserrat" w:hAnsi="Montserrat"/>
          <w:sz w:val="20"/>
        </w:rPr>
        <w:t>[</w:t>
      </w:r>
      <w:r>
        <w:rPr>
          <w:rFonts w:ascii="Montserrat" w:hAnsi="Montserrat"/>
          <w:sz w:val="20"/>
        </w:rPr>
        <w:t>==References==</w:t>
      </w:r>
      <w:r>
        <w:rPr>
          <w:rFonts w:ascii="Montserrat" w:hAnsi="Montserrat"/>
          <w:sz w:val="20"/>
        </w:rPr>
        <w:t>RR Monitoring</w:t>
      </w:r>
      <w:r>
        <w:rPr>
          <w:rFonts w:ascii="Montserrat" w:hAnsi="Montserrat"/>
          <w:sz w:val="20"/>
        </w:rPr>
        <w:t>)</w:t>
      </w:r>
      <w:r>
        <w:rPr>
          <w:rFonts w:ascii="Montserrat" w:hAnsi="Montserrat"/>
          <w:sz w:val="20"/>
        </w:rPr>
        <w:t>]</w:t>
      </w:r>
      <w:r>
        <w:rPr>
          <w:rFonts w:ascii="Montserrat" w:hAnsi="Montserrat"/>
          <w:sz w:val="20"/>
        </w:rPr>
        <w:t>for</w:t>
      </w:r>
      <w:r>
        <w:rPr>
          <w:rFonts w:ascii="Montserrat" w:hAnsi="Montserrat"/>
          <w:sz w:val="20"/>
        </w:rPr>
        <w:t>[ Place of deployment For example: Buildings]</w:t>
      </w:r>
      <w:r>
        <w:rPr>
          <w:rFonts w:ascii="Montserrat" w:hAnsi="Montserrat"/>
          <w:sz w:val="20"/>
        </w:rPr>
        <w:t>in the case of:</w:t>
      </w:r>
      <w:r>
        <w:rPr>
          <w:rFonts w:ascii="Montserrat" w:hAnsi="Montserrat"/>
          <w:sz w:val="20"/>
        </w:rPr>
        <w:t>[ Name of customer, address]</w:t>
      </w:r>
      <w:r>
        <w:rPr>
          <w:rFonts w:ascii="Montserrat" w:hAnsi="Montserrat"/>
          <w:sz w:val="20"/>
        </w:rPr>
        <w:t>==References==</w:t>
      </w:r>
    </w:p>
    <w:p>
      <w:pPr>
        <w:pStyle w:val="berschrift1"/>
      </w:pPr>
      <w:r>
        <w:rPr/>
        <w:t>Terms and abbreviations</w:t>
      </w:r>
    </w:p>
    <w:p>
      <w:pPr>
        <w:pStyle w:val="berschrift2"/>
      </w:pPr>
      <w:r>
        <w:rPr>
          <w:rFonts w:ascii="Montserrat" w:hAnsi="Montserrat"/>
        </w:rPr>
        <w:t>Definitions</w:t>
      </w:r>
    </w:p>
    <w:p>
      <w:pPr>
        <w:pStyle w:val="Standard"/>
      </w:pPr>
      <w:r>
        <w:rPr>
          <w:rFonts w:ascii="Montserrat" w:hAnsi="Montserrat"/>
          <w:b/>
          <w:sz w:val="20"/>
        </w:rPr>
        <w:t>Water qualities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/ Abbreviation</w:t>
            </w:r>
          </w:p>
        </w:tc>
        <w:tc>
          <w:tcPr>
            <w:tcW w:type="dxa" w:w="4320"/>
          </w:tcPr>
          <w:p>
            <w:r>
              <w:t>Use</w:t>
            </w:r>
          </w:p>
        </w:tc>
      </w:tr>
      <w:tr>
        <w:tc>
          <w:tcPr>
            <w:tcW w:type="dxa" w:w="4320"/>
          </w:tcPr>
          <w:p>
            <w:r>
              <w:t>HEPA filters</w:t>
            </w:r>
          </w:p>
        </w:tc>
        <w:tc>
          <w:tcPr>
            <w:tcW w:type="dxa" w:w="4320"/>
          </w:tcPr>
          <w:p>
            <w:r>
              <w:t>High efficiency particulate filters Air filter)</w:t>
            </w:r>
          </w:p>
        </w:tc>
      </w:tr>
      <w:tr>
        <w:tc>
          <w:tcPr>
            <w:tcW w:type="dxa" w:w="4320"/>
          </w:tcPr>
          <w:p>
            <w:r>
              <w:t>Information (data)</w:t>
            </w:r>
          </w:p>
        </w:tc>
        <w:tc>
          <w:tcPr>
            <w:tcW w:type="dxa" w:w="4320"/>
          </w:tcPr>
          <w:p>
            <w:r>
              <w:t>e.g. numbers, texts, images, videos or audio files</w:t>
            </w:r>
          </w:p>
        </w:tc>
      </w:tr>
      <w:tr>
        <w:tc>
          <w:tcPr>
            <w:tcW w:type="dxa" w:w="4320"/>
          </w:tcPr>
          <w:p>
            <w:r>
              <w:t>Product quality</w:t>
            </w:r>
          </w:p>
        </w:tc>
        <w:tc>
          <w:tcPr>
            <w:tcW w:type="dxa" w:w="4320"/>
          </w:tcPr>
          <w:p>
            <w:r>
              <w:t>GMP-critical product specifications (e.g. according to Design History File)</w:t>
            </w:r>
          </w:p>
        </w:tc>
      </w:tr>
      <w:tr>
        <w:tc>
          <w:tcPr>
            <w:tcW w:type="dxa" w:w="4320"/>
          </w:tcPr>
          <w:p>
            <w:r>
              <w:t>Process component</w:t>
            </w:r>
          </w:p>
        </w:tc>
        <w:tc>
          <w:tcPr>
            <w:tcW w:type="dxa" w:w="4320"/>
          </w:tcPr>
          <w:p>
            <w:r>
              <w:t>Element that is relevant for the process, such as temperature or humidity in the room.</w:t>
            </w:r>
          </w:p>
        </w:tc>
      </w:tr>
    </w:tbl>
    <w:p/>
    <w:p>
      <w:pPr>
        <w:pStyle w:val="berschrift2"/>
      </w:pPr>
      <w:r>
        <w:rPr>
          <w:rFonts w:ascii="Montserrat" w:hAnsi="Montserrat"/>
        </w:rPr>
        <w:t>Abbreviations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Definition / Abbreviation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DQ</w:t>
            </w:r>
          </w:p>
        </w:tc>
        <w:tc>
          <w:tcPr>
            <w:tcW w:type="dxa" w:w="4320"/>
          </w:tcPr>
          <w:p>
            <w:r>
              <w:t>Design qualification</w:t>
            </w:r>
          </w:p>
        </w:tc>
      </w:tr>
      <w:tr>
        <w:tc>
          <w:tcPr>
            <w:tcW w:type="dxa" w:w="4320"/>
          </w:tcPr>
          <w:p>
            <w:r>
              <w:t>FMEA</w:t>
            </w:r>
          </w:p>
        </w:tc>
        <w:tc>
          <w:tcPr>
            <w:tcW w:type="dxa" w:w="4320"/>
          </w:tcPr>
          <w:p>
            <w:r>
              <w:t>Failure Mode Effects Analysis (Failure Mode Effects Analysis)</w:t>
            </w:r>
          </w:p>
        </w:tc>
      </w:tr>
      <w:tr>
        <w:tc>
          <w:tcPr>
            <w:tcW w:type="dxa" w:w="4320"/>
          </w:tcPr>
          <w:p>
            <w:r>
              <w:t>GMP</w:t>
            </w:r>
          </w:p>
        </w:tc>
        <w:tc>
          <w:tcPr>
            <w:tcW w:type="dxa" w:w="4320"/>
          </w:tcPr>
          <w:p>
            <w:r>
              <w:t>Good Manufacturing Practice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/>
    <w:p/>
    <w:p/>
    <w:p/>
    <w:p/>
    <w:p>
      <w:pPr>
        <w:pStyle w:val="berschrift1"/>
      </w:pPr>
      <w:r>
        <w:rPr/>
        <w:t>Functional</w:t>
      </w:r>
      <w:r>
        <w:rPr/>
        <w:t>Specification</w:t>
      </w:r>
      <w:r>
        <w:rPr/>
        <w:t>(</w:t>
      </w:r>
      <w:r>
        <w:rPr/>
        <w:t>Function description</w:t>
      </w:r>
      <w:r>
        <w:rPr/>
        <w:t>)</w:t>
      </w:r>
    </w:p>
    <w:p>
      <w:pPr>
        <w:pStyle w:val="Standard"/>
      </w:pPr>
      <w:r>
        <w:rPr>
          <w:rFonts w:ascii="Montserrat" w:hAnsi="Montserrat"/>
          <w:sz w:val="20"/>
        </w:rPr>
        <w:t>D</w:t>
      </w:r>
      <w:r>
        <w:rPr>
          <w:rFonts w:ascii="Montserrat" w:hAnsi="Montserrat"/>
          <w:sz w:val="20"/>
        </w:rPr>
        <w:t>he qualification is based on a risk-based approach. The qualification process and the regulatory classification are described in the system-specific qualification master plan (QMP)</w:t>
      </w:r>
      <w:r>
        <w:rPr>
          <w:rFonts w:ascii="Montserrat" w:hAnsi="Montserrat"/>
          <w:sz w:val="20"/>
        </w:rPr>
        <w:t>.</w:t>
      </w:r>
      <w:r>
        <w:rPr>
          <w:rFonts w:ascii="Montserrat" w:hAnsi="Montserrat"/>
          <w:sz w:val="20"/>
        </w:rPr>
        <w:t>Based on a GMP relevance analysis (Doc ID</w:t>
      </w:r>
      <w:r>
        <w:rPr>
          <w:rFonts w:ascii="Montserrat" w:hAnsi="Montserrat"/>
          <w:sz w:val="20"/>
        </w:rPr>
        <w:t>GMP-I</w:t>
      </w:r>
      <w:r>
        <w:rPr>
          <w:rFonts w:ascii="Montserrat" w:hAnsi="Montserrat"/>
          <w:sz w:val="20"/>
        </w:rPr>
        <w:t>_</w:t>
      </w:r>
      <w:r>
        <w:rPr>
          <w:rFonts w:ascii="Montserrat" w:hAnsi="Montserrat"/>
          <w:sz w:val="20"/>
        </w:rPr>
        <w:t>GRA</w:t>
      </w:r>
      <w:r>
        <w:rPr>
          <w:rFonts w:ascii="Montserrat" w:hAnsi="Montserrat"/>
          <w:sz w:val="20"/>
        </w:rPr>
        <w:t>_</w:t>
      </w:r>
      <w:r>
        <w:rPr>
          <w:rFonts w:ascii="Montserrat" w:hAnsi="Montserrat"/>
          <w:sz w:val="20"/>
        </w:rPr>
        <w:t>GEB_O2</w:t>
      </w:r>
      <w:r>
        <w:rPr>
          <w:rFonts w:ascii="Montserrat" w:hAnsi="Montserrat"/>
          <w:sz w:val="20"/>
        </w:rPr>
        <w:t>;</w:t>
      </w:r>
      <w:r>
        <w:rPr>
          <w:rFonts w:ascii="Montserrat" w:hAnsi="Montserrat"/>
          <w:sz w:val="20"/>
        </w:rPr>
        <w:t>Oxygen,</w:t>
      </w:r>
      <w:r>
        <w:rPr>
          <w:rFonts w:ascii="Montserrat" w:hAnsi="Montserrat"/>
          <w:sz w:val="20"/>
        </w:rPr>
        <w:t>GMP-I</w:t>
      </w:r>
      <w:r>
        <w:rPr>
          <w:rFonts w:ascii="Montserrat" w:hAnsi="Montserrat"/>
          <w:sz w:val="20"/>
        </w:rPr>
        <w:t>_GRA_GEB_</w:t>
      </w:r>
      <w:r>
        <w:rPr>
          <w:rFonts w:ascii="Montserrat" w:hAnsi="Montserrat"/>
          <w:sz w:val="20"/>
        </w:rPr>
        <w:t>PW;</w:t>
      </w:r>
      <w:r>
        <w:rPr>
          <w:rFonts w:ascii="Montserrat" w:hAnsi="Montserrat"/>
          <w:sz w:val="20"/>
        </w:rPr>
        <w:t>Purified</w:t>
      </w:r>
      <w:r>
        <w:rPr>
          <w:rFonts w:ascii="Montserrat" w:hAnsi="Montserrat"/>
          <w:sz w:val="20"/>
        </w:rPr>
        <w:t>Water</w:t>
      </w: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sz w:val="20"/>
        </w:rPr>
        <w:t>GMP-I</w:t>
      </w:r>
      <w:r>
        <w:rPr>
          <w:rFonts w:ascii="Montserrat" w:hAnsi="Montserrat"/>
          <w:sz w:val="20"/>
        </w:rPr>
        <w:t>_GRA_GEB_DL</w:t>
      </w:r>
      <w:r>
        <w:rPr>
          <w:rFonts w:ascii="Montserrat" w:hAnsi="Montserrat"/>
          <w:sz w:val="20"/>
        </w:rPr>
        <w:t>;</w:t>
      </w:r>
      <w:r>
        <w:rPr>
          <w:rFonts w:ascii="Montserrat" w:hAnsi="Montserrat"/>
          <w:sz w:val="20"/>
        </w:rPr>
        <w:t>Compressed air</w:t>
      </w:r>
      <w:r>
        <w:rPr>
          <w:rFonts w:ascii="Montserrat" w:hAnsi="Montserrat"/>
          <w:sz w:val="20"/>
        </w:rPr>
        <w:t>),</w:t>
      </w:r>
      <w:r>
        <w:rPr>
          <w:rFonts w:ascii="Montserrat" w:hAnsi="Montserrat"/>
          <w:sz w:val="20"/>
        </w:rPr>
        <w:t>n</w:t>
      </w: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s</w:t>
      </w:r>
      <w:r>
        <w:rPr>
          <w:rFonts w:ascii="Montserrat" w:hAnsi="Montserrat"/>
          <w:sz w:val="20"/>
        </w:rPr>
        <w:t>ystem</w:t>
      </w:r>
      <w:r>
        <w:rPr>
          <w:rFonts w:ascii="Montserrat" w:hAnsi="Montserrat"/>
          <w:sz w:val="20"/>
        </w:rPr>
        <w:t>e</w:t>
      </w:r>
      <w:r>
        <w:rPr>
          <w:rFonts w:ascii="Montserrat" w:hAnsi="Montserrat"/>
          <w:sz w:val="20"/>
        </w:rPr>
        <w:t>categorised as GMP relevant.</w:t>
      </w:r>
    </w:p>
    <w:p>
      <w:pPr>
        <w:pStyle w:val="Standard"/>
      </w:pP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User requirements</w:t>
      </w:r>
      <w:r>
        <w:rPr>
          <w:rFonts w:ascii="Montserrat" w:hAnsi="Montserrat"/>
          <w:sz w:val="20"/>
        </w:rPr>
        <w:t>have been</w:t>
      </w:r>
      <w:r>
        <w:rPr>
          <w:rFonts w:ascii="Montserrat" w:hAnsi="Montserrat"/>
          <w:sz w:val="20"/>
        </w:rPr>
        <w:t>classified according to their relevance (GxP or security/economicity) and criticality (necessary/optional).</w:t>
      </w:r>
    </w:p>
    <w:p/>
    <w:p>
      <w:pPr>
        <w:pStyle w:val="Standard"/>
      </w:pPr>
      <w:r>
        <w:rPr>
          <w:rFonts w:ascii="Montserrat" w:hAnsi="Montserrat"/>
          <w:sz w:val="20"/>
        </w:rPr>
        <w:t>Whether the functional descriptions in the FS were "fulfilled" or "unfulfilled" is "J" (yes) or "N" (no)</w:t>
      </w:r>
      <w:r>
        <w:rPr>
          <w:rFonts w:ascii="Montserrat" w:hAnsi="Montserrat"/>
          <w:sz w:val="20"/>
        </w:rPr>
        <w:t>Documented</w:t>
      </w:r>
      <w:r>
        <w:rPr>
          <w:rFonts w:ascii="Montserrat" w:hAnsi="Montserrat"/>
          <w:sz w:val="20"/>
        </w:rPr>
        <w:t>.</w:t>
      </w:r>
    </w:p>
    <w:p/>
    <w:p>
      <w:pPr>
        <w:pStyle w:val="Standard"/>
      </w:pPr>
      <w:r>
        <w:rPr>
          <w:rFonts w:ascii="Montserrat" w:hAnsi="Montserrat"/>
          <w:sz w:val="20"/>
        </w:rPr>
        <w:t>How the requirements are implemented is described in the new column under the "old" column of the "description" so that it can be understood what the original requirement was.</w:t>
      </w:r>
    </w:p>
    <w:p/>
    <w:p>
      <w:pPr>
        <w:pStyle w:val="Standard"/>
      </w:pPr>
      <w:r>
        <w:rPr>
          <w:rFonts w:ascii="Montserrat" w:hAnsi="Montserrat"/>
          <w:sz w:val="20"/>
        </w:rPr>
        <w:t>GxP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relevant points must be taken into account in the qualification; Security</w:t>
      </w:r>
      <w:r>
        <w:rPr>
          <w:rFonts w:ascii="Montserrat" w:hAnsi="Montserrat"/>
          <w:sz w:val="20"/>
        </w:rPr>
        <w:t>s-</w:t>
      </w:r>
      <w:r>
        <w:rPr>
          <w:rFonts w:ascii="Montserrat" w:hAnsi="Montserrat"/>
          <w:sz w:val="20"/>
        </w:rPr>
        <w:t>/Economy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relevant points must be taken into account by the engineering/operator.</w:t>
      </w:r>
      <w:r>
        <w:rPr>
          <w:rFonts w:ascii="Montserrat" w:hAnsi="Montserrat"/>
          <w:sz w:val="20"/>
        </w:rPr>
        <w:t>Requirements, which are classified as "necessary", must be implemented, for "optionally classified points can possibly be applied to the implementation</w:t>
      </w:r>
      <w:r>
        <w:rPr>
          <w:rFonts w:ascii="Montserrat" w:hAnsi="Montserrat"/>
          <w:sz w:val="20"/>
        </w:rPr>
        <w:t>the requirement is waived.</w:t>
      </w:r>
    </w:p>
    <w:p>
      <w:pPr>
        <w:pStyle w:val="Standard"/>
      </w:pPr>
      <w:r>
        <w:rPr>
          <w:rFonts w:ascii="Montserrat" w:hAnsi="Montserrat"/>
          <w:sz w:val="20"/>
        </w:rPr>
        <w:t>In the column "URS#" of these URS, direct requirements are marked with a number. This number shall consist of the chapter number of the URS and a serial number.</w:t>
      </w:r>
      <w:r>
        <w:rPr>
          <w:rFonts w:ascii="Montserrat" w:hAnsi="Montserrat"/>
          <w:sz w:val="20"/>
        </w:rPr>
        <w:t>.</w:t>
      </w:r>
    </w:p>
    <w:p>
      <w:pPr>
        <w:pStyle w:val="berschrift2"/>
      </w:pPr>
      <w:r>
        <w:rPr>
          <w:rFonts w:ascii="Montserrat" w:hAnsi="Montserrat"/>
        </w:rPr>
        <w:t>4.1</w:t>
      </w:r>
      <w:r>
        <w:rPr>
          <w:rFonts w:ascii="Montserrat" w:hAnsi="Montserrat"/>
        </w:rPr>
        <w:t>Technical standards</w:t>
      </w:r>
    </w:p>
    <w:p>
      <w:pPr>
        <w:pStyle w:val="Standard"/>
      </w:pPr>
      <w:r>
        <w:rPr>
          <w:rFonts w:ascii="Montserrat" w:hAnsi="Montserrat"/>
          <w:sz w:val="20"/>
        </w:rPr>
        <w:t>The interpretation and execution to the affected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Production, storage and distribution</w:t>
      </w:r>
      <w:r>
        <w:rPr>
          <w:rFonts w:ascii="Montserrat" w:hAnsi="Montserrat"/>
          <w:sz w:val="20"/>
        </w:rPr>
        <w:t>) must comply with relevant local, regional and national regulations (European Union, USA)</w:t>
      </w:r>
      <w:r>
        <w:rPr>
          <w:rFonts w:ascii="Montserrat" w:hAnsi="Montserrat"/>
          <w:sz w:val="20"/>
        </w:rPr>
        <w:t>and correspond to the level of</w:t>
      </w:r>
      <w:r>
        <w:rPr>
          <w:rFonts w:ascii="Montserrat" w:hAnsi="Montserrat"/>
          <w:sz w:val="20"/>
        </w:rPr>
        <w:t>Technology</w:t>
      </w:r>
      <w:r>
        <w:rPr>
          <w:rFonts w:ascii="Montserrat" w:hAnsi="Montserrat"/>
          <w:sz w:val="20"/>
        </w:rPr>
        <w:t>.</w:t>
      </w:r>
    </w:p>
    <w:p/>
    <w:p/>
    <w:p/>
    <w:p>
      <w:pPr>
        <w:pStyle w:val="berschrift2"/>
      </w:pPr>
      <w:r>
        <w:rPr>
          <w:rFonts w:ascii="Montserrat" w:hAnsi="Montserrat"/>
        </w:rPr>
        <w:t>Requirements</w:t>
      </w:r>
    </w:p>
    <w:p>
      <w:pPr>
        <w:pStyle w:val="berschrift3"/>
      </w:pPr>
      <w:r>
        <w:rPr/>
        <w:t>4.2.1</w:t>
      </w:r>
      <w:r>
        <w:rPr/>
        <w:t>General requirements</w:t>
      </w:r>
    </w:p>
    <w:p/>
    <w:tbl>
      <w:tblPr>
        <w:tblStyle w:val="Tabellengitternetz1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GMP spacebook</w:t>
            </w:r>
          </w:p>
        </w:tc>
        <w:tc>
          <w:tcPr>
            <w:tcW w:type="dxa" w:w="2160"/>
          </w:tcPr>
          <w:p>
            <w:r>
              <w:t>GMP spacebook</w:t>
            </w:r>
          </w:p>
        </w:tc>
        <w:tc>
          <w:tcPr>
            <w:tcW w:type="dxa" w:w="2160"/>
          </w:tcPr>
          <w:p>
            <w:r>
              <w:t>GMP spacebook</w:t>
            </w:r>
          </w:p>
        </w:tc>
        <w:tc>
          <w:tcPr>
            <w:tcW w:type="dxa" w:w="2160"/>
          </w:tcPr>
          <w:p>
            <w:r>
              <w:t>GMP spacebook</w:t>
            </w:r>
          </w:p>
        </w:tc>
      </w:tr>
      <w:tr>
        <w:tc>
          <w:tcPr>
            <w:tcW w:type="dxa" w:w="2160"/>
          </w:tcPr>
          <w:p>
            <w:r>
              <w:t>4.2.1</w:t>
            </w:r>
          </w:p>
        </w:tc>
        <w:tc>
          <w:tcPr>
            <w:tcW w:type="dxa" w:w="2160"/>
          </w:tcPr>
          <w:p>
            <w:r>
              <w:t>Number and size, including marking of the rooms, as well as specification of the zone status for pure rooms and material, including lock systems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4.2.1-1</w:t>
            </w:r>
          </w:p>
        </w:tc>
        <w:tc>
          <w:tcPr>
            <w:tcW w:type="dxa" w:w="2160"/>
          </w:tcPr>
          <w:p>
            <w:r>
              <w:t>Number and size Cleanrooms according to GMP space book (Annex 1)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4.2.1-2</w:t>
            </w:r>
          </w:p>
        </w:tc>
        <w:tc>
          <w:tcPr>
            <w:tcW w:type="dxa" w:w="2160"/>
          </w:tcPr>
          <w:p>
            <w:r>
              <w:t>Identification of rooms with room number and room designation (Annex 1)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Zone status and transitions</w:t>
            </w:r>
          </w:p>
        </w:tc>
        <w:tc>
          <w:tcPr>
            <w:tcW w:type="dxa" w:w="2160"/>
          </w:tcPr>
          <w:p>
            <w:r>
              <w:t>Zone status and transitions</w:t>
            </w:r>
          </w:p>
        </w:tc>
        <w:tc>
          <w:tcPr>
            <w:tcW w:type="dxa" w:w="2160"/>
          </w:tcPr>
          <w:p>
            <w:r>
              <w:t>Zone status and transitions</w:t>
            </w:r>
          </w:p>
        </w:tc>
        <w:tc>
          <w:tcPr>
            <w:tcW w:type="dxa" w:w="2160"/>
          </w:tcPr>
          <w:p>
            <w:r>
              <w:t>Zone status and transitions</w:t>
            </w:r>
          </w:p>
        </w:tc>
      </w:tr>
      <w:tr>
        <w:tc>
          <w:tcPr>
            <w:tcW w:type="dxa" w:w="2160"/>
          </w:tcPr>
          <w:p>
            <w:r>
              <w:t>4.2.1-3</w:t>
            </w:r>
          </w:p>
        </w:tc>
        <w:tc>
          <w:tcPr>
            <w:tcW w:type="dxa" w:w="2160"/>
          </w:tcPr>
          <w:p>
            <w:r>
              <w:t>Zone status of cleanrooms according to GMP space book (Annex 1): CNC RRK D RRK C Transition CNC to RRK D Transition RRK D to RRK C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4.2.1-4</w:t>
            </w:r>
          </w:p>
        </w:tc>
        <w:tc>
          <w:tcPr>
            <w:tcW w:type="dxa" w:w="2160"/>
          </w:tcPr>
          <w:p>
            <w:r>
              <w:t>Zone status Material passing between E20 and E21: RRK C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4.2.1-5</w:t>
            </w:r>
          </w:p>
        </w:tc>
        <w:tc>
          <w:tcPr>
            <w:tcW w:type="dxa" w:w="2160"/>
          </w:tcPr>
          <w:p>
            <w:r>
              <w:t>Access from a cleanroom class (RRK) to the next higher RRK is via locks The lock corresponds to the higher RRK (Annex 1)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4.2.1-6</w:t>
            </w:r>
          </w:p>
        </w:tc>
        <w:tc>
          <w:tcPr>
            <w:tcW w:type="dxa" w:w="2160"/>
          </w:tcPr>
          <w:p>
            <w:r>
              <w:t>Spatial separation within the lock is carried out by barriers (Sit-Over-Bank or soil marking)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Rivers (material flow, personnel flow)</w:t>
            </w:r>
          </w:p>
        </w:tc>
        <w:tc>
          <w:tcPr>
            <w:tcW w:type="dxa" w:w="2160"/>
          </w:tcPr>
          <w:p>
            <w:r>
              <w:t>Rivers (material flow, personnel flow)</w:t>
            </w:r>
          </w:p>
        </w:tc>
        <w:tc>
          <w:tcPr>
            <w:tcW w:type="dxa" w:w="2160"/>
          </w:tcPr>
          <w:p>
            <w:r>
              <w:t>Rivers (material flow, personnel flow)</w:t>
            </w:r>
          </w:p>
        </w:tc>
        <w:tc>
          <w:tcPr>
            <w:tcW w:type="dxa" w:w="2160"/>
          </w:tcPr>
          <w:p>
            <w:r>
              <w:t>Rivers (material flow, personnel flow)</w:t>
            </w:r>
          </w:p>
        </w:tc>
      </w:tr>
      <w:tr>
        <w:tc>
          <w:tcPr>
            <w:tcW w:type="dxa" w:w="2160"/>
          </w:tcPr>
          <w:p>
            <w:r>
              <w:t>4.2.1-7</w:t>
            </w:r>
          </w:p>
        </w:tc>
        <w:tc>
          <w:tcPr>
            <w:tcW w:type="dxa" w:w="2160"/>
          </w:tcPr>
          <w:p>
            <w:r>
              <w:t>Separation of material and personnel flow: By means of material and personnel locks, as well as material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4.2.1-7</w:t>
            </w:r>
          </w:p>
        </w:tc>
        <w:tc>
          <w:tcPr>
            <w:tcW w:type="dxa" w:w="2160"/>
          </w:tcPr>
          <w:p>
            <w:r>
              <w:t>Spatial separation of material and personnel flow: Materials are applied via material lock Within production rooms, materials can be passed through material People are entered or left the cleanroom via personnel locks.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4.2.1-8</w:t>
            </w:r>
          </w:p>
        </w:tc>
        <w:tc>
          <w:tcPr>
            <w:tcW w:type="dxa" w:w="2160"/>
          </w:tcPr>
          <w:p>
            <w:r>
              <w:t>Biological waste (solid material) is applied via autoclaves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Cleanroom conditions</w:t>
            </w:r>
          </w:p>
        </w:tc>
        <w:tc>
          <w:tcPr>
            <w:tcW w:type="dxa" w:w="2160"/>
          </w:tcPr>
          <w:p>
            <w:r>
              <w:t>Cleanroom conditions</w:t>
            </w:r>
          </w:p>
        </w:tc>
        <w:tc>
          <w:tcPr>
            <w:tcW w:type="dxa" w:w="2160"/>
          </w:tcPr>
          <w:p>
            <w:r>
              <w:t>Cleanroom conditions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4.2.1-9</w:t>
            </w:r>
          </w:p>
        </w:tc>
        <w:tc>
          <w:tcPr>
            <w:tcW w:type="dxa" w:w="2160"/>
          </w:tcPr>
          <w:p>
            <w:r>
              <w:t>Cleanroom conditions of the individual rooms incl. Warning limits according to GMP space book (Annex 1): pressure pressure difference temperature Moisture Discontinuous monitoring for particles and microbiology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4.2.1-10</w:t>
            </w:r>
          </w:p>
        </w:tc>
        <w:tc>
          <w:tcPr>
            <w:tcW w:type="dxa" w:w="2160"/>
          </w:tcPr>
          <w:p>
            <w:r>
              <w:t>Pressure difference between space zones is measured against "empty tube" instead of "side room"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Flow</w:t>
            </w:r>
          </w:p>
        </w:tc>
        <w:tc>
          <w:tcPr>
            <w:tcW w:type="dxa" w:w="2160"/>
          </w:tcPr>
          <w:p>
            <w:r>
              <w:t>Flow</w:t>
            </w:r>
          </w:p>
        </w:tc>
        <w:tc>
          <w:tcPr>
            <w:tcW w:type="dxa" w:w="2160"/>
          </w:tcPr>
          <w:p>
            <w:r>
              <w:t>Flow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4.2.1-11</w:t>
            </w:r>
          </w:p>
        </w:tc>
        <w:tc>
          <w:tcPr>
            <w:tcW w:type="dxa" w:w="2160"/>
          </w:tcPr>
          <w:p>
            <w:r>
              <w:t>Flow direction in the room takes place from critical to less critical area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4.2.1-12</w:t>
            </w:r>
          </w:p>
        </w:tc>
        <w:tc>
          <w:tcPr>
            <w:tcW w:type="dxa" w:w="2160"/>
          </w:tcPr>
          <w:p>
            <w:r>
              <w:t>Non-laminar low-turbulence current must be guaranteed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4.2.1-13</w:t>
            </w:r>
          </w:p>
        </w:tc>
        <w:tc>
          <w:tcPr>
            <w:tcW w:type="dxa" w:w="2160"/>
          </w:tcPr>
          <w:p>
            <w:r>
              <w:t>Cleanroom conditions in the locks correspond to the higher RRK (Annex 1)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4.2.1-14</w:t>
            </w:r>
          </w:p>
        </w:tc>
        <w:tc>
          <w:tcPr>
            <w:tcW w:type="dxa" w:w="2160"/>
          </w:tcPr>
          <w:p>
            <w:r>
              <w:t>The cleanroom conditions must be monitored and observed (monitoring)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Maintenance/maintenance</w:t>
            </w:r>
          </w:p>
        </w:tc>
        <w:tc>
          <w:tcPr>
            <w:tcW w:type="dxa" w:w="2160"/>
          </w:tcPr>
          <w:p>
            <w:r>
              <w:t>Maintenance/maintenance</w:t>
            </w:r>
          </w:p>
        </w:tc>
        <w:tc>
          <w:tcPr>
            <w:tcW w:type="dxa" w:w="2160"/>
          </w:tcPr>
          <w:p>
            <w:r>
              <w:t>Maintenance/maintenance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4.2.1-15</w:t>
            </w:r>
          </w:p>
        </w:tc>
        <w:tc>
          <w:tcPr>
            <w:tcW w:type="dxa" w:w="2160"/>
          </w:tcPr>
          <w:p>
            <w:r>
              <w:t>Systems must be maintainable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4.2.1-15</w:t>
            </w:r>
          </w:p>
        </w:tc>
        <w:tc>
          <w:tcPr>
            <w:tcW w:type="dxa" w:w="2160"/>
          </w:tcPr>
          <w:p>
            <w:r>
              <w:t>The system must be able to be maintained. In particular, the accessibility of parts of the system to be maintained must be given (if possible from outside the RR)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4.2.1-16</w:t>
            </w:r>
          </w:p>
        </w:tc>
        <w:tc>
          <w:tcPr>
            <w:tcW w:type="dxa" w:w="2160"/>
          </w:tcPr>
          <w:p>
            <w:r>
              <w:t>Revision flaps are available for maintenance between RR suspended ceiling and building rough ceiling (plenum)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4.2.1-17</w:t>
            </w:r>
          </w:p>
        </w:tc>
        <w:tc>
          <w:tcPr>
            <w:tcW w:type="dxa" w:w="2160"/>
          </w:tcPr>
          <w:p>
            <w:r>
              <w:t>Exchangeable wall modules: The wall and ceiling modules should be installed in such a way that they are individually accessible and easily interchangeable.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Calibration</w:t>
            </w:r>
          </w:p>
        </w:tc>
        <w:tc>
          <w:tcPr>
            <w:tcW w:type="dxa" w:w="2160"/>
          </w:tcPr>
          <w:p>
            <w:r>
              <w:t>Calibration</w:t>
            </w:r>
          </w:p>
        </w:tc>
        <w:tc>
          <w:tcPr>
            <w:tcW w:type="dxa" w:w="2160"/>
          </w:tcPr>
          <w:p>
            <w:r>
              <w:t>Calibration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4.2.1-18</w:t>
            </w:r>
          </w:p>
        </w:tc>
        <w:tc>
          <w:tcPr>
            <w:tcW w:type="dxa" w:w="2160"/>
          </w:tcPr>
          <w:p>
            <w:r>
              <w:t>Sensors must be: calibrated (plant calibration) recalibratable (calibration preferably in built-in condition or simple disassembly)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Control panel</w:t>
            </w:r>
          </w:p>
        </w:tc>
        <w:tc>
          <w:tcPr>
            <w:tcW w:type="dxa" w:w="2160"/>
          </w:tcPr>
          <w:p>
            <w:r>
              <w:t>Control panel</w:t>
            </w:r>
          </w:p>
        </w:tc>
        <w:tc>
          <w:tcPr>
            <w:tcW w:type="dxa" w:w="2160"/>
          </w:tcPr>
          <w:p>
            <w:r>
              <w:t>Control panel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4.2.1-19</w:t>
            </w:r>
          </w:p>
        </w:tc>
        <w:tc>
          <w:tcPr>
            <w:tcW w:type="dxa" w:w="2160"/>
          </w:tcPr>
          <w:p>
            <w:r>
              <w:t>Control panel for monitoring the cleanroom parameters.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4.2.1-19</w:t>
            </w:r>
          </w:p>
        </w:tc>
        <w:tc>
          <w:tcPr>
            <w:tcW w:type="dxa" w:w="2160"/>
          </w:tcPr>
          <w:p>
            <w:r>
              <w:t>Control panel for monitoring the cleanroom parameters is provided in the entrance area in the wall GMP1_E.03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/>
    <w:p>
      <w:pPr>
        <w:pStyle w:val="berschrift3"/>
      </w:pPr>
      <w:r>
        <w:rPr/>
        <w:t>Environmental conditions/interfaces</w:t>
      </w:r>
    </w:p>
    <w:tbl>
      <w:tblPr>
        <w:tblStyle w:val="Tabellengitternetz1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4.2.2-1</w:t>
            </w:r>
          </w:p>
        </w:tc>
        <w:tc>
          <w:tcPr>
            <w:tcW w:type="dxa" w:w="2160"/>
          </w:tcPr>
          <w:p>
            <w:r>
              <w:t>Location Building GMP-I is [Location]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4.2.2-2</w:t>
            </w:r>
          </w:p>
        </w:tc>
        <w:tc>
          <w:tcPr>
            <w:tcW w:type="dxa" w:w="2160"/>
          </w:tcPr>
          <w:p>
            <w:r>
              <w:t>Interface cleanroom/ Ventilation system: final HEPA filter (Specification H14) incl. scan certificate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4.2.2-3</w:t>
            </w:r>
          </w:p>
        </w:tc>
        <w:tc>
          <w:tcPr>
            <w:tcW w:type="dxa" w:w="2160"/>
          </w:tcPr>
          <w:p>
            <w:r>
              <w:t>Flush separators in the exhaust air shall be provided in personnel locks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4.2.2-3</w:t>
            </w:r>
          </w:p>
        </w:tc>
        <w:tc>
          <w:tcPr>
            <w:tcW w:type="dxa" w:w="2160"/>
          </w:tcPr>
          <w:p>
            <w:r>
              <w:t>In the course of the project, a change in the technical solution, the flow separator, took place.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4.2.2-4</w:t>
            </w:r>
          </w:p>
        </w:tc>
        <w:tc>
          <w:tcPr>
            <w:tcW w:type="dxa" w:w="2160"/>
          </w:tcPr>
          <w:p>
            <w:r>
              <w:t>The material is actively ventilated (cleanroom class C)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4.2.2-5</w:t>
            </w:r>
          </w:p>
        </w:tc>
        <w:tc>
          <w:tcPr>
            <w:tcW w:type="dxa" w:w="2160"/>
          </w:tcPr>
          <w:p>
            <w:r>
              <w:t>Interface cleanroom/ventilation system: suction arm in the process room 4, connected to central extraction system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4.2.2-6</w:t>
            </w:r>
          </w:p>
        </w:tc>
        <w:tc>
          <w:tcPr>
            <w:tcW w:type="dxa" w:w="2160"/>
          </w:tcPr>
          <w:p>
            <w:r>
              <w:t>Interface cleanroom/ventilation system: LF-zone-digestorium with own supply and exhaust air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/>
        <w:t>Media coverage</w:t>
      </w:r>
    </w:p>
    <w:tbl>
      <w:tblPr>
        <w:tblStyle w:val="Tabellengitternetz1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4.2.2.1 -1</w:t>
            </w:r>
          </w:p>
        </w:tc>
        <w:tc>
          <w:tcPr>
            <w:tcW w:type="dxa" w:w="2160"/>
          </w:tcPr>
          <w:p>
            <w:r>
              <w:t>The following media connections in cleanrooms (Annex 2): compressed air oxygen Purified Water (PW)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4.2.2.1-2</w:t>
            </w:r>
          </w:p>
        </w:tc>
        <w:tc>
          <w:tcPr>
            <w:tcW w:type="dxa" w:w="2160"/>
          </w:tcPr>
          <w:p>
            <w:r>
              <w:t>Media (for techn. Supply/operation of plants/systems) such as cooling water and compressed air are available</w:t>
            </w:r>
          </w:p>
        </w:tc>
        <w:tc>
          <w:tcPr>
            <w:tcW w:type="dxa" w:w="2160"/>
          </w:tcPr>
          <w:p>
            <w:r>
              <w:t>Safety,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3"/>
      </w:pPr>
      <w:r>
        <w:rPr/>
        <w:t>Construction requirements</w:t>
      </w:r>
    </w:p>
    <w:tbl>
      <w:tblPr>
        <w:tblStyle w:val="Tabellengitternetz1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4.2.3-1</w:t>
            </w:r>
          </w:p>
        </w:tc>
        <w:tc>
          <w:tcPr>
            <w:tcW w:type="dxa" w:w="2160"/>
          </w:tcPr>
          <w:p>
            <w:r>
              <w:t>Building shell is not external shell (double shells when RR closes outwards, room in room system)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4.2.3-2</w:t>
            </w:r>
          </w:p>
        </w:tc>
        <w:tc>
          <w:tcPr>
            <w:tcW w:type="dxa" w:w="2160"/>
          </w:tcPr>
          <w:p>
            <w:r>
              <w:t>Premises and impact/disposal points to withstand the planned overpressure cascade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4.2.3-3</w:t>
            </w:r>
          </w:p>
        </w:tc>
        <w:tc>
          <w:tcPr>
            <w:tcW w:type="dxa" w:w="2160"/>
          </w:tcPr>
          <w:p>
            <w:r>
              <w:t>The rooms are to be executed in white (RAL 9010)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4.2.3-4</w:t>
            </w:r>
          </w:p>
        </w:tc>
        <w:tc>
          <w:tcPr>
            <w:tcW w:type="dxa" w:w="2160"/>
          </w:tcPr>
          <w:p>
            <w:r>
              <w:t>For RR walls with window elements double glazed (frameless) VSG discs flush to integrate into the frame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4.2.3-5</w:t>
            </w:r>
          </w:p>
        </w:tc>
        <w:tc>
          <w:tcPr>
            <w:tcW w:type="dxa" w:w="2160"/>
          </w:tcPr>
          <w:p>
            <w:r>
              <w:t>Doors with windows in the upper area are used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4.2.3-6</w:t>
            </w:r>
          </w:p>
        </w:tc>
        <w:tc>
          <w:tcPr>
            <w:tcW w:type="dxa" w:w="2160"/>
          </w:tcPr>
          <w:p>
            <w:r>
              <w:t>Doors are opened electronically. There is a holding mechanism for double doors.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4.2.3-6</w:t>
            </w:r>
          </w:p>
        </w:tc>
        <w:tc>
          <w:tcPr>
            <w:tcW w:type="dxa" w:w="2160"/>
          </w:tcPr>
          <w:p>
            <w:r>
              <w:t>Quick-speed gates are opened electronically. There is a holding mechanism for double doors. Doors must be opened manually.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4.2.3-7</w:t>
            </w:r>
          </w:p>
        </w:tc>
        <w:tc>
          <w:tcPr>
            <w:tcW w:type="dxa" w:w="2160"/>
          </w:tcPr>
          <w:p>
            <w:r>
              <w:t>Emergency lamps shall be installed in the grid lamps or on the cleanroom ceiling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4.2.3-8</w:t>
            </w:r>
          </w:p>
        </w:tc>
        <w:tc>
          <w:tcPr>
            <w:tcW w:type="dxa" w:w="2160"/>
          </w:tcPr>
          <w:p>
            <w:r>
              <w:t>For windows in the open, appropriate darkening possibilities shall be provided on the outside. They're supposed to be wind stable.</w:t>
            </w:r>
          </w:p>
        </w:tc>
        <w:tc>
          <w:tcPr>
            <w:tcW w:type="dxa" w:w="2160"/>
          </w:tcPr>
          <w:p>
            <w:r>
              <w:t>Safety,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4.2.3-9</w:t>
            </w:r>
          </w:p>
        </w:tc>
        <w:tc>
          <w:tcPr>
            <w:tcW w:type="dxa" w:w="2160"/>
          </w:tcPr>
          <w:p>
            <w:r>
              <w:t>Ceiling lamps shall be flush-in and sealed/sealed with suitable plastic (e.g. silicone)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4.2.3-10</w:t>
            </w:r>
          </w:p>
        </w:tc>
        <w:tc>
          <w:tcPr>
            <w:tcW w:type="dxa" w:w="2160"/>
          </w:tcPr>
          <w:p>
            <w:r>
              <w:t>Ventilation: tightness class sewer network Class C according to DIN EN 1507 for square air ducts and DIN EN 12237 for round air ducts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4.2.3-11</w:t>
            </w:r>
          </w:p>
        </w:tc>
        <w:tc>
          <w:tcPr>
            <w:tcW w:type="dxa" w:w="2160"/>
          </w:tcPr>
          <w:p>
            <w:r>
              <w:t>Flow-technical favourable channel guidance (to avoid too many angles)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4.2.3-12</w:t>
            </w:r>
          </w:p>
        </w:tc>
        <w:tc>
          <w:tcPr>
            <w:tcW w:type="dxa" w:w="2160"/>
          </w:tcPr>
          <w:p>
            <w:r>
              <w:t>All lines (electrical, media) are to be laid into the wall elements (well space of the walls) Alternatively, selective media columns are allowed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4.2.3-13</w:t>
            </w:r>
          </w:p>
        </w:tc>
        <w:tc>
          <w:tcPr>
            <w:tcW w:type="dxa" w:w="2160"/>
          </w:tcPr>
          <w:p>
            <w:r>
              <w:t>Media execution (mousehole) is available at the intended position: Transition Process Space 4 GMP1_E.16 to Process Room 2 GMP1_E.20 in number 3 pieces - Diameter 4-6 inches - Installation height 950 mm FBK Process Room 1 GMP1_E.15 to Process Room 2 GMP1_E.20 in number 1 piece - Diameter 4-6 inches - Installation height 950 mm FBK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4.2.3-14</w:t>
            </w:r>
          </w:p>
        </w:tc>
        <w:tc>
          <w:tcPr>
            <w:tcW w:type="dxa" w:w="2160"/>
          </w:tcPr>
          <w:p>
            <w:r>
              <w:t>Media entry systems Wall ceiling (cable/pipe) shall be closed airtight and flush-mounted.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4.2.3-15</w:t>
            </w:r>
          </w:p>
        </w:tc>
        <w:tc>
          <w:tcPr>
            <w:tcW w:type="dxa" w:w="2160"/>
          </w:tcPr>
          <w:p>
            <w:r>
              <w:t>A shock protection is in relevant places. (e.g. material lock)</w:t>
            </w:r>
          </w:p>
        </w:tc>
        <w:tc>
          <w:tcPr>
            <w:tcW w:type="dxa" w:w="2160"/>
          </w:tcPr>
          <w:p>
            <w:r>
              <w:t>Safety,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4.2.3-16</w:t>
            </w:r>
          </w:p>
        </w:tc>
        <w:tc>
          <w:tcPr>
            <w:tcW w:type="dxa" w:w="2160"/>
          </w:tcPr>
          <w:p>
            <w:r>
              <w:t>Detachment arm in the process room GMP1_E.16 mounted on the cleanroom wall and connected to exhaust air system of the central RLT system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4.2.3-17</w:t>
            </w:r>
          </w:p>
        </w:tc>
        <w:tc>
          <w:tcPr>
            <w:tcW w:type="dxa" w:w="2160"/>
          </w:tcPr>
          <w:p>
            <w:r>
              <w:t>LF zone/digestorium in the process room GMP1_E.15 with connection to the RLT for supply air as 75 % fresh air and 100 % exhaust air via HEPA 14: Internal surface Size (useful surface) is 2.3 m long, 0.7 m deep, 1 m height 6 sockets in the inner surface, lateral introduction / connectors for hoses walls: glass/transparent LF housing made of material stainless steel LF zone is open in operation (without discs) with air barrier through the air flow interface: Communication with RLT system over potential free contact (When the system is switched on, the RLT system receives a signal that more air is to be provided in the room and vice versa)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4.2.3-18</w:t>
            </w:r>
          </w:p>
        </w:tc>
        <w:tc>
          <w:tcPr>
            <w:tcW w:type="dxa" w:w="2160"/>
          </w:tcPr>
          <w:p>
            <w:r>
              <w:t>The cleanroom wall and wall elements axis A-1; A-2, on the entry opening, for the entry surface ‘2000 mm x 1250 mm* 2000 mm x 2250 mm can be removed and resealable after insertion (magnetic coupling) and sealed.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/>
    <w:p/>
    <w:p>
      <w:pPr>
        <w:pStyle w:val="berschrift4"/>
      </w:pPr>
      <w:r>
        <w:rPr>
          <w:rFonts w:ascii="Montserrat" w:hAnsi="Montserrat"/>
          <w:sz w:val="20"/>
        </w:rPr>
        <w:t>Drawings and plans</w:t>
      </w:r>
    </w:p>
    <w:tbl>
      <w:tblPr>
        <w:tblStyle w:val="Tabellengitternetz1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4.2.3.1-1</w:t>
            </w:r>
          </w:p>
        </w:tc>
        <w:tc>
          <w:tcPr>
            <w:tcW w:type="dxa" w:w="2160"/>
          </w:tcPr>
          <w:p>
            <w:r>
              <w:t>Creation and delivery of production drawings, R&amp;I flow diagrams, schematics, ceiling grid drawings incl. lighting, topology of the cleanroom Monitoring system (PDF and DWG format) for RR and RLT Uniform component marking in R&amp;I and drawings.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Verdana" w:hAnsi="Verdana"/>
          <w:sz w:val="20"/>
        </w:rPr>
        <w:t>Material/surfaces</w:t>
      </w:r>
    </w:p>
    <w:tbl>
      <w:tblPr>
        <w:tblStyle w:val="Tabellengitternetz1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4.2.3.2-1</w:t>
            </w:r>
          </w:p>
        </w:tc>
        <w:tc>
          <w:tcPr>
            <w:tcW w:type="dxa" w:w="2160"/>
          </w:tcPr>
          <w:p>
            <w:r>
              <w:t>Hygienic Design: Smooth, free of cracks, dense, easy to clean/ disinfectable surfaces cracks, sharp edges and dead spaces are to be avoided hollows to wall and machine connections are to be manufactured and flush well cleanable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4.2.3.2-2</w:t>
            </w:r>
          </w:p>
        </w:tc>
        <w:tc>
          <w:tcPr>
            <w:tcW w:type="dxa" w:w="2160"/>
          </w:tcPr>
          <w:p>
            <w:r>
              <w:t>Floor covering: anti-slip dissipative low particle abrasion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4.2.3.2-3</w:t>
            </w:r>
          </w:p>
        </w:tc>
        <w:tc>
          <w:tcPr>
            <w:tcW w:type="dxa" w:w="2160"/>
          </w:tcPr>
          <w:p>
            <w:r>
              <w:t>Interior Material rich easy to clean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4.2.3.2-4</w:t>
            </w:r>
          </w:p>
        </w:tc>
        <w:tc>
          <w:tcPr>
            <w:tcW w:type="dxa" w:w="2160"/>
          </w:tcPr>
          <w:p>
            <w:r>
              <w:t>Surfaces are resistant to the cleaning and disinfection agents used by [company] (alcoholic solvents)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4.2.3.2-5</w:t>
            </w:r>
          </w:p>
        </w:tc>
        <w:tc>
          <w:tcPr>
            <w:tcW w:type="dxa" w:w="2160"/>
          </w:tcPr>
          <w:p>
            <w:r>
              <w:t>Seals: must be resistant to abrasion and ageing and as far as possible UV-resistant must not release particles and plasticizers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4.2.3.2-6</w:t>
            </w:r>
          </w:p>
        </w:tc>
        <w:tc>
          <w:tcPr>
            <w:tcW w:type="dxa" w:w="2160"/>
          </w:tcPr>
          <w:p>
            <w:r>
              <w:t>Fittings/machine connections, LF zone and extraction arm in the RR must be made of stainless steel (min. 1.4301)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4.2.3.2-7</w:t>
            </w:r>
          </w:p>
        </w:tc>
        <w:tc>
          <w:tcPr>
            <w:tcW w:type="dxa" w:w="2160"/>
          </w:tcPr>
          <w:p>
            <w:r>
              <w:t>Lubricant: must be min. Have food quality (proof of compliance according to NSF-H1) TSE certified (free of materials of animal origin)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Furnishing furniture</w:t>
            </w:r>
          </w:p>
        </w:tc>
        <w:tc>
          <w:tcPr>
            <w:tcW w:type="dxa" w:w="2160"/>
          </w:tcPr>
          <w:p>
            <w:r>
              <w:t>Furnishing furniture</w:t>
            </w:r>
          </w:p>
        </w:tc>
        <w:tc>
          <w:tcPr>
            <w:tcW w:type="dxa" w:w="2160"/>
          </w:tcPr>
          <w:p>
            <w:r>
              <w:t>Furnishing furniture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4.2.3.2-8</w:t>
            </w:r>
          </w:p>
        </w:tc>
        <w:tc>
          <w:tcPr>
            <w:tcW w:type="dxa" w:w="2160"/>
          </w:tcPr>
          <w:p>
            <w:r>
              <w:t>Furniture must be flush to the ceiling or 25°-30° bevelled. Furniture should correspond to "hygienic design".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4.2.3.2-9</w:t>
            </w:r>
          </w:p>
        </w:tc>
        <w:tc>
          <w:tcPr>
            <w:tcW w:type="dxa" w:w="2160"/>
          </w:tcPr>
          <w:p>
            <w:r>
              <w:t>Furniture should be made of stainless steel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Verdana" w:hAnsi="Verdana"/>
          <w:sz w:val="20"/>
        </w:rPr>
        <w:t>Performance data</w:t>
      </w:r>
    </w:p>
    <w:tbl>
      <w:tblPr>
        <w:tblStyle w:val="Tabellengitternetz1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4.2.3.3-1</w:t>
            </w:r>
          </w:p>
        </w:tc>
        <w:tc>
          <w:tcPr>
            <w:tcW w:type="dxa" w:w="2160"/>
          </w:tcPr>
          <w:p>
            <w:r>
              <w:t>Ventilation (Annex 1): Supply air Exhaust air Air quantities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4.2.3.3-2</w:t>
            </w:r>
          </w:p>
        </w:tc>
        <w:tc>
          <w:tcPr>
            <w:tcW w:type="dxa" w:w="2160"/>
          </w:tcPr>
          <w:p>
            <w:r>
              <w:t>Air change corresponds to RRK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4.2.3.3-3</w:t>
            </w:r>
          </w:p>
        </w:tc>
        <w:tc>
          <w:tcPr>
            <w:tcW w:type="dxa" w:w="2160"/>
          </w:tcPr>
          <w:p>
            <w:r>
              <w:t>Ratio of fresh air 100 % in all cleanrooms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3"/>
      </w:pPr>
      <w:r>
        <w:rPr/>
        <w:t>Safety requirements</w:t>
      </w:r>
    </w:p>
    <w:tbl>
      <w:tblPr>
        <w:tblStyle w:val="Tabellengitternetz1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4.2.4.1</w:t>
            </w:r>
          </w:p>
        </w:tc>
        <w:tc>
          <w:tcPr>
            <w:tcW w:type="dxa" w:w="2160"/>
          </w:tcPr>
          <w:p>
            <w:r>
              <w:t>A mutual lock locking is necessary for the locks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4.2.4.2</w:t>
            </w:r>
          </w:p>
        </w:tc>
        <w:tc>
          <w:tcPr>
            <w:tcW w:type="dxa" w:w="2160"/>
          </w:tcPr>
          <w:p>
            <w:r>
              <w:t>A mutual lock lock is necessary for the material to pass through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4.2.4-3</w:t>
            </w:r>
          </w:p>
        </w:tc>
        <w:tc>
          <w:tcPr>
            <w:tcW w:type="dxa" w:w="2160"/>
          </w:tcPr>
          <w:p>
            <w:r>
              <w:t>Lock doors and quick-run doors shall be fitted with an emergency switch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4.2.4-4</w:t>
            </w:r>
          </w:p>
        </w:tc>
        <w:tc>
          <w:tcPr>
            <w:tcW w:type="dxa" w:w="2160"/>
          </w:tcPr>
          <w:p>
            <w:r>
              <w:t>Storage space GMP1_E.12 should be subject to access control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4.2.4-5</w:t>
            </w:r>
          </w:p>
        </w:tc>
        <w:tc>
          <w:tcPr>
            <w:tcW w:type="dxa" w:w="2160"/>
          </w:tcPr>
          <w:p>
            <w:r>
              <w:t>Precautions must be taken against the intrusion of insects and other animals (Pest Control)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4.2.4-6</w:t>
            </w:r>
          </w:p>
        </w:tc>
        <w:tc>
          <w:tcPr>
            <w:tcW w:type="dxa" w:w="2160"/>
          </w:tcPr>
          <w:p>
            <w:r>
              <w:t>All electrical and EMSR-side components shall comply with the respective environmental requirements in order to ensure safe operation of the system.</w:t>
            </w:r>
          </w:p>
        </w:tc>
        <w:tc>
          <w:tcPr>
            <w:tcW w:type="dxa" w:w="2160"/>
          </w:tcPr>
          <w:p>
            <w:r>
              <w:t>Safety,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/>
    <w:p>
      <w:pPr>
        <w:pStyle w:val="berschrift3"/>
      </w:pPr>
      <w:r>
        <w:rPr/>
        <w:t>Process requirements</w:t>
      </w:r>
    </w:p>
    <w:p>
      <w:pPr>
        <w:pStyle w:val="berschrift4"/>
      </w:pPr>
      <w:r>
        <w:rPr>
          <w:rFonts w:ascii="Verdana" w:hAnsi="Verdana"/>
          <w:sz w:val="20"/>
        </w:rPr>
        <w:t>Material flow IN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4.2.5.1-1</w:t>
            </w:r>
          </w:p>
        </w:tc>
        <w:tc>
          <w:tcPr>
            <w:tcW w:type="dxa" w:w="2160"/>
          </w:tcPr>
          <w:p>
            <w:r>
              <w:t>Materials: Storage of materials in the central outer warehouse Transport to the GMP-I building Delivery via GMP1_E.07 Installation via material locks in respective production rooms Transfer between production rooms by means of material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4.2.5.1-2</w:t>
            </w:r>
          </w:p>
        </w:tc>
        <w:tc>
          <w:tcPr>
            <w:tcW w:type="dxa" w:w="2160"/>
          </w:tcPr>
          <w:p>
            <w:r>
              <w:t>Repackaging Materials: in GMP-I building no wood (pallets either stainless steel or plastic) no cardboard in GMP-I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Verdana" w:hAnsi="Verdana"/>
          <w:sz w:val="20"/>
        </w:rPr>
        <w:t>Material flow OUT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4.2.5.2-1</w:t>
            </w:r>
          </w:p>
        </w:tc>
        <w:tc>
          <w:tcPr>
            <w:tcW w:type="dxa" w:w="2160"/>
          </w:tcPr>
          <w:p>
            <w:r>
              <w:t>Storage material/product in storage room GMP1_E.12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4.2.5.2-2</w:t>
            </w:r>
          </w:p>
        </w:tc>
        <w:tc>
          <w:tcPr>
            <w:tcW w:type="dxa" w:w="2160"/>
          </w:tcPr>
          <w:p>
            <w:r>
              <w:t>Materials: Application via material lock Transport in storage Storage Equipment in storage Transport and handover e.g. to customer via GMP1_E.07 (after QC release)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4.2.5.2-3</w:t>
            </w:r>
          </w:p>
        </w:tc>
        <w:tc>
          <w:tcPr>
            <w:tcW w:type="dxa" w:w="2160"/>
          </w:tcPr>
          <w:p>
            <w:r>
              <w:t>Separate flows of materials and product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Verdana" w:hAnsi="Verdana"/>
          <w:sz w:val="20"/>
        </w:rPr>
        <w:t>Persons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4.2.5.3-1</w:t>
            </w:r>
          </w:p>
        </w:tc>
        <w:tc>
          <w:tcPr>
            <w:tcW w:type="dxa" w:w="2160"/>
          </w:tcPr>
          <w:p>
            <w:r>
              <w:t>Number Persons in locks in accordance with the GMP Room Book (Annex1)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4.2.5.3-2</w:t>
            </w:r>
          </w:p>
        </w:tc>
        <w:tc>
          <w:tcPr>
            <w:tcW w:type="dxa" w:w="2160"/>
          </w:tcPr>
          <w:p>
            <w:r>
              <w:t>A clothing concept is defined (Annex 3)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3"/>
      </w:pPr>
      <w:r>
        <w:rPr/>
        <w:t>Functional requirements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4.2.6-1</w:t>
            </w:r>
          </w:p>
        </w:tc>
        <w:tc>
          <w:tcPr>
            <w:tcW w:type="dxa" w:w="2160"/>
          </w:tcPr>
          <w:p>
            <w:r>
              <w:t>Lock lock: Automatic locking and display system.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4.2.6-1</w:t>
            </w:r>
          </w:p>
        </w:tc>
        <w:tc>
          <w:tcPr>
            <w:tcW w:type="dxa" w:w="2160"/>
          </w:tcPr>
          <w:p>
            <w:r>
              <w:t>Lock lock: normal condition: all doors are not locked, display lock control "green" door opening: back door locked automatically, display lock control "red"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4.2.6-2</w:t>
            </w:r>
          </w:p>
        </w:tc>
        <w:tc>
          <w:tcPr>
            <w:tcW w:type="dxa" w:w="2160"/>
          </w:tcPr>
          <w:p>
            <w:r>
              <w:t>Release Lock locking after parameterised time or after reaching specified RR conditions)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4.2.6-3</w:t>
            </w:r>
          </w:p>
        </w:tc>
        <w:tc>
          <w:tcPr>
            <w:tcW w:type="dxa" w:w="2160"/>
          </w:tcPr>
          <w:p>
            <w:r>
              <w:t>Opening Lock doors in case of fire alarm</w:t>
            </w:r>
          </w:p>
        </w:tc>
        <w:tc>
          <w:tcPr>
            <w:tcW w:type="dxa" w:w="2160"/>
          </w:tcPr>
          <w:p>
            <w:r>
              <w:t>Safety,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4.2.6-4</w:t>
            </w:r>
          </w:p>
        </w:tc>
        <w:tc>
          <w:tcPr>
            <w:tcW w:type="dxa" w:w="2160"/>
          </w:tcPr>
          <w:p>
            <w:r>
              <w:t>Lock doors and quick-run gates trigger an alarm when opened too long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4.2.6-5</w:t>
            </w:r>
          </w:p>
        </w:tc>
        <w:tc>
          <w:tcPr>
            <w:tcW w:type="dxa" w:w="2160"/>
          </w:tcPr>
          <w:p>
            <w:r>
              <w:t>Monitoring of spatial conditions: Starting alarms Normal condition: no alarm freezing/delay time: no alarm over/underrun: alarm (acoustic or visual)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3"/>
      </w:pPr>
      <w:r>
        <w:rPr/>
        <w:t>Monitoring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4.2.7-1</w:t>
            </w:r>
          </w:p>
        </w:tc>
        <w:tc>
          <w:tcPr>
            <w:tcW w:type="dxa" w:w="2160"/>
          </w:tcPr>
          <w:p>
            <w:r>
              <w:t>Display cleanroom conditions on PAL GMP1_E.11 (e.g. pressure difference)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4.2.7-2</w:t>
            </w:r>
          </w:p>
        </w:tc>
        <w:tc>
          <w:tcPr>
            <w:tcW w:type="dxa" w:w="2160"/>
          </w:tcPr>
          <w:p>
            <w:r>
              <w:t>Delay time/freezing available for alarming (by short opening of lock doors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4.2.7-3</w:t>
            </w:r>
          </w:p>
        </w:tc>
        <w:tc>
          <w:tcPr>
            <w:tcW w:type="dxa" w:w="2160"/>
          </w:tcPr>
          <w:p>
            <w:r>
              <w:t>Determined pressure difference monitoring between different cleanroom classes must be available and continuously monitor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4.2.7-4</w:t>
            </w:r>
          </w:p>
        </w:tc>
        <w:tc>
          <w:tcPr>
            <w:tcW w:type="dxa" w:w="2160"/>
          </w:tcPr>
          <w:p>
            <w:r>
              <w:t>The system must be able to trigger alarms in case of breach of warning limits and alarm limits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4.2.7-5</w:t>
            </w:r>
          </w:p>
        </w:tc>
        <w:tc>
          <w:tcPr>
            <w:tcW w:type="dxa" w:w="2160"/>
          </w:tcPr>
          <w:p>
            <w:r>
              <w:t>Pressure differential monitoring shall: Deactivate alarm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4.2.7-6</w:t>
            </w:r>
          </w:p>
        </w:tc>
        <w:tc>
          <w:tcPr>
            <w:tcW w:type="dxa" w:w="2160"/>
          </w:tcPr>
          <w:p>
            <w:r>
              <w:t>Monitoring documents including monitoring data must be easily accessible to users (identification via signal lamp and receipt via control computer)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4.2.7-7</w:t>
            </w:r>
          </w:p>
        </w:tc>
        <w:tc>
          <w:tcPr>
            <w:tcW w:type="dxa" w:w="2160"/>
          </w:tcPr>
          <w:p>
            <w:r>
              <w:t>Data (monitoring) is recorded and archived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4.2.7-8</w:t>
            </w:r>
          </w:p>
        </w:tc>
        <w:tc>
          <w:tcPr>
            <w:tcW w:type="dxa" w:w="2160"/>
          </w:tcPr>
          <w:p>
            <w:r>
              <w:t>Data must be protected against tampering by unauthorised persons and loss (within the organisation as well as during transmission)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4.2.7-9</w:t>
            </w:r>
          </w:p>
        </w:tc>
        <w:tc>
          <w:tcPr>
            <w:tcW w:type="dxa" w:w="2160"/>
          </w:tcPr>
          <w:p>
            <w:r>
              <w:t>Data must be readable for the entire retention period (up to 30 years)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4.2.7-10</w:t>
            </w:r>
          </w:p>
        </w:tc>
        <w:tc>
          <w:tcPr>
            <w:tcW w:type="dxa" w:w="2160"/>
          </w:tcPr>
          <w:p>
            <w:r>
              <w:t>Temperature control for the average formation of individual rooms, unless otherwise specified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4.2.7-11</w:t>
            </w:r>
          </w:p>
        </w:tc>
        <w:tc>
          <w:tcPr>
            <w:tcW w:type="dxa" w:w="2160"/>
          </w:tcPr>
          <w:p>
            <w:r>
              <w:t>Trends: daily and monthly accurate display and evaluation possible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4.2.7-12</w:t>
            </w:r>
          </w:p>
        </w:tc>
        <w:tc>
          <w:tcPr>
            <w:tcW w:type="dxa" w:w="2160"/>
          </w:tcPr>
          <w:p>
            <w:r>
              <w:t>An overview of maintenance and malfunction messages in the system shall be presented; This includes, in particular, warning and alarm messages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Requirements for security and access and authorisation controls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4.2.7.1-1</w:t>
            </w:r>
          </w:p>
        </w:tc>
        <w:tc>
          <w:tcPr>
            <w:tcW w:type="dxa" w:w="2160"/>
          </w:tcPr>
          <w:p>
            <w:r>
              <w:t>The software program system must be protected by physical access control and changing password rules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4.2.7.1-2</w:t>
            </w:r>
          </w:p>
        </w:tc>
        <w:tc>
          <w:tcPr>
            <w:tcW w:type="dxa" w:w="2160"/>
          </w:tcPr>
          <w:p>
            <w:r>
              <w:t>The system must provide for several levels of security depending on the responsibilities of the user (only RRM)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4.2.7.1-3</w:t>
            </w:r>
          </w:p>
        </w:tc>
        <w:tc>
          <w:tcPr>
            <w:tcW w:type="dxa" w:w="2160"/>
          </w:tcPr>
          <w:p>
            <w:r>
              <w:t>Audit Trail: Generation and reliability.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4.2.7.1-3</w:t>
            </w:r>
          </w:p>
        </w:tc>
        <w:tc>
          <w:tcPr>
            <w:tcW w:type="dxa" w:w="2160"/>
          </w:tcPr>
          <w:p>
            <w:r>
              <w:t>The system must generate an audit trail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4.2.7.1-4</w:t>
            </w:r>
          </w:p>
        </w:tc>
        <w:tc>
          <w:tcPr>
            <w:tcW w:type="dxa" w:w="2160"/>
          </w:tcPr>
          <w:p>
            <w:r>
              <w:t>Non-response operation incl. Data storage by UPS (interruptible power supply)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Backup and recovery requirements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4.2.7.2-1</w:t>
            </w:r>
          </w:p>
        </w:tc>
        <w:tc>
          <w:tcPr>
            <w:tcW w:type="dxa" w:w="2160"/>
          </w:tcPr>
          <w:p>
            <w:r>
              <w:t>The system must have backup and recovery functionality. An emergency programme for this purpose must be documented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Data Integrity Requirements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4.2.7.3-1</w:t>
            </w:r>
          </w:p>
        </w:tc>
        <w:tc>
          <w:tcPr>
            <w:tcW w:type="dxa" w:w="2160"/>
          </w:tcPr>
          <w:p>
            <w:r>
              <w:t>The system generates electronic records as defined in 21 CFR 11, EU-GMP Annex 11 and other pharmaceutical IT regulations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4.2.7.3-2</w:t>
            </w:r>
          </w:p>
        </w:tc>
        <w:tc>
          <w:tcPr>
            <w:tcW w:type="dxa" w:w="2160"/>
          </w:tcPr>
          <w:p>
            <w:r>
              <w:t>Electronic data is archived via interface in the in-house server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Hardware requirements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4.2.7.4-1</w:t>
            </w:r>
          </w:p>
        </w:tc>
        <w:tc>
          <w:tcPr>
            <w:tcW w:type="dxa" w:w="2160"/>
          </w:tcPr>
          <w:p>
            <w:r>
              <w:t>Standard hardware components of well-known manufacturers shall be used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Software requirements</w:t>
      </w:r>
    </w:p>
    <w:tbl>
      <w:tblPr>
        <w:tblStyle w:val="Tabellengitternetz1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4.2.7.5-1</w:t>
            </w:r>
          </w:p>
        </w:tc>
        <w:tc>
          <w:tcPr>
            <w:tcW w:type="dxa" w:w="2160"/>
          </w:tcPr>
          <w:p>
            <w:r>
              <w:t>Standard software components of well-known manufacturers are to be used (e.g. Microsoft Windows, Microsoft SQL database) according to GAMP requirements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4.2.7.5-2</w:t>
            </w:r>
          </w:p>
        </w:tc>
        <w:tc>
          <w:tcPr>
            <w:tcW w:type="dxa" w:w="2160"/>
          </w:tcPr>
          <w:p>
            <w:r>
              <w:t>Safety patches and updates are provided by the maintenance technician during the inspection/ Maintenance installed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/>
    <w:p>
      <w:pPr>
        <w:pStyle w:val="berschrift3"/>
      </w:pPr>
      <w:r>
        <w:rPr/>
        <w:t>Documentation and training requirements</w:t>
      </w:r>
    </w:p>
    <w:tbl>
      <w:tblPr>
        <w:tblStyle w:val="Tabellengitternetz17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4.2.8-1</w:t>
            </w:r>
          </w:p>
        </w:tc>
        <w:tc>
          <w:tcPr>
            <w:tcW w:type="dxa" w:w="2160"/>
          </w:tcPr>
          <w:p>
            <w:r>
              <w:t>The complete documentation must be in German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4.2.8-2</w:t>
            </w:r>
          </w:p>
        </w:tc>
        <w:tc>
          <w:tcPr>
            <w:tcW w:type="dxa" w:w="2160"/>
          </w:tcPr>
          <w:p>
            <w:r>
              <w:t>The documentation shall: 1-fold in paper form (stitched in DIN A4 folders including table of contents) and delivered on a data carrier (USB stick)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4.2.8-3</w:t>
            </w:r>
          </w:p>
        </w:tc>
        <w:tc>
          <w:tcPr>
            <w:tcW w:type="dxa" w:w="2160"/>
          </w:tcPr>
          <w:p>
            <w:r>
              <w:t>An overview list of all delivered supplier documents shall be submitted to the client.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4.2.8-4</w:t>
            </w:r>
          </w:p>
        </w:tc>
        <w:tc>
          <w:tcPr>
            <w:tcW w:type="dxa" w:w="2160"/>
          </w:tcPr>
          <w:p>
            <w:r>
              <w:t>Uniform marking of all components and components in all documents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4.2.8-5</w:t>
            </w:r>
          </w:p>
        </w:tc>
        <w:tc>
          <w:tcPr>
            <w:tcW w:type="dxa" w:w="2160"/>
          </w:tcPr>
          <w:p>
            <w:r>
              <w:t>All fittings/ The sampling points shall be clearly marked in accordance with the flow diagrams.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4.2.8-6</w:t>
            </w:r>
          </w:p>
        </w:tc>
        <w:tc>
          <w:tcPr>
            <w:tcW w:type="dxa" w:w="2160"/>
          </w:tcPr>
          <w:p>
            <w:r>
              <w:t>The version control of all manufacturer documents must be ensured by means of a change history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4.2.8-7</w:t>
            </w:r>
          </w:p>
        </w:tc>
        <w:tc>
          <w:tcPr>
            <w:tcW w:type="dxa" w:w="2160"/>
          </w:tcPr>
          <w:p>
            <w:r>
              <w:t>All documents must be available until acceptance (SAT) final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4.2.8-8</w:t>
            </w:r>
          </w:p>
        </w:tc>
        <w:tc>
          <w:tcPr>
            <w:tcW w:type="dxa" w:w="2160"/>
          </w:tcPr>
          <w:p>
            <w:r>
              <w:t>EC declaration of conformity for all components of the scope of delivery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4.2.8-9</w:t>
            </w:r>
          </w:p>
        </w:tc>
        <w:tc>
          <w:tcPr>
            <w:tcW w:type="dxa" w:w="2160"/>
          </w:tcPr>
          <w:p>
            <w:r>
              <w:t>CE marking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4.2.8-10</w:t>
            </w:r>
          </w:p>
        </w:tc>
        <w:tc>
          <w:tcPr>
            <w:tcW w:type="dxa" w:w="2160"/>
          </w:tcPr>
          <w:p>
            <w:r>
              <w:t>Initial calibration of the sensors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4.2.8-11</w:t>
            </w:r>
          </w:p>
        </w:tc>
        <w:tc>
          <w:tcPr>
            <w:tcW w:type="dxa" w:w="2160"/>
          </w:tcPr>
          <w:p>
            <w:r>
              <w:t>Function description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4.2.8-12</w:t>
            </w:r>
          </w:p>
        </w:tc>
        <w:tc>
          <w:tcPr>
            <w:tcW w:type="dxa" w:w="2160"/>
          </w:tcPr>
          <w:p>
            <w:r>
              <w:t>Hygiene inspection according to VDI 6022 for ventilation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4.2.8-13</w:t>
            </w:r>
          </w:p>
        </w:tc>
        <w:tc>
          <w:tcPr>
            <w:tcW w:type="dxa" w:w="2160"/>
          </w:tcPr>
          <w:p>
            <w:r>
              <w:t>Recommendations/Guides incl. Manufacturer's maintenance/maintenance schedules Excluded are revision openings (maintenance-free)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Lists</w:t>
      </w:r>
    </w:p>
    <w:tbl>
      <w:tblPr>
        <w:tblStyle w:val="Tabellengitternetz17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4.2.8.1-1</w:t>
            </w:r>
          </w:p>
        </w:tc>
        <w:tc>
          <w:tcPr>
            <w:tcW w:type="dxa" w:w="2160"/>
          </w:tcPr>
          <w:p>
            <w:r>
              <w:t>List of spare parts with recommendation on storage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4.2.8.1-2</w:t>
            </w:r>
          </w:p>
        </w:tc>
        <w:tc>
          <w:tcPr>
            <w:tcW w:type="dxa" w:w="2160"/>
          </w:tcPr>
          <w:p>
            <w:r>
              <w:t>Wearing sub-list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4.2.8.1-3</w:t>
            </w:r>
          </w:p>
        </w:tc>
        <w:tc>
          <w:tcPr>
            <w:tcW w:type="dxa" w:w="2160"/>
          </w:tcPr>
          <w:p>
            <w:r>
              <w:t>Warning and alarm list (listing and explanation of all alarm functions and error messages depending on the operating state including system response (light, horn, shutdown))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4.2.8.1-4</w:t>
            </w:r>
          </w:p>
        </w:tc>
        <w:tc>
          <w:tcPr>
            <w:tcW w:type="dxa" w:w="2160"/>
          </w:tcPr>
          <w:p>
            <w:r>
              <w:t>Parameters list A separate list of parameters is not necessary for the components of the RLT system (H14 filters, drain outlets and ground extraction).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4.2.8.1-5</w:t>
            </w:r>
          </w:p>
        </w:tc>
        <w:tc>
          <w:tcPr>
            <w:tcW w:type="dxa" w:w="2160"/>
          </w:tcPr>
          <w:p>
            <w:r>
              <w:t>Component List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4.2.8.1-6</w:t>
            </w:r>
          </w:p>
        </w:tc>
        <w:tc>
          <w:tcPr>
            <w:tcW w:type="dxa" w:w="2160"/>
          </w:tcPr>
          <w:p>
            <w:r>
              <w:t>Filter lists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4.2.8.1-7</w:t>
            </w:r>
          </w:p>
        </w:tc>
        <w:tc>
          <w:tcPr>
            <w:tcW w:type="dxa" w:w="2160"/>
          </w:tcPr>
          <w:p>
            <w:r>
              <w:t>List of measuring instruments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4.2.8.1-8</w:t>
            </w:r>
          </w:p>
        </w:tc>
        <w:tc>
          <w:tcPr>
            <w:tcW w:type="dxa" w:w="2160"/>
          </w:tcPr>
          <w:p>
            <w:r>
              <w:t>A measuring station plan shall be drawn up.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4.2.8.1-9</w:t>
            </w:r>
          </w:p>
        </w:tc>
        <w:tc>
          <w:tcPr>
            <w:tcW w:type="dxa" w:w="2160"/>
          </w:tcPr>
          <w:p>
            <w:r>
              <w:t>A calibration list for relevant measuring points with description and acceptance criteria shall be drawn up.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4.2.8.1-10</w:t>
            </w:r>
          </w:p>
        </w:tc>
        <w:tc>
          <w:tcPr>
            <w:tcW w:type="dxa" w:w="2160"/>
          </w:tcPr>
          <w:p>
            <w:r>
              <w:t>A maintenance specification list shall be created.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Electrical documentation</w:t>
      </w:r>
    </w:p>
    <w:tbl>
      <w:tblPr>
        <w:tblStyle w:val="Tabellengitternetz17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4.2.8.2-1</w:t>
            </w:r>
          </w:p>
        </w:tc>
        <w:tc>
          <w:tcPr>
            <w:tcW w:type="dxa" w:w="2160"/>
          </w:tcPr>
          <w:p>
            <w:r>
              <w:t>A cable list/ Create MSR list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4.2.8.2-2</w:t>
            </w:r>
          </w:p>
        </w:tc>
        <w:tc>
          <w:tcPr>
            <w:tcW w:type="dxa" w:w="2160"/>
          </w:tcPr>
          <w:p>
            <w:r>
              <w:t>A schematic must be available in "as-built" version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Operator documentation</w:t>
      </w:r>
    </w:p>
    <w:tbl>
      <w:tblPr>
        <w:tblStyle w:val="Tabellengitternetz17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4.2.8.3-1</w:t>
            </w:r>
          </w:p>
        </w:tc>
        <w:tc>
          <w:tcPr>
            <w:tcW w:type="dxa" w:w="2160"/>
          </w:tcPr>
          <w:p>
            <w:r>
              <w:t>Logbooks must be present or created if not initially present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4.2.8.3-2</w:t>
            </w:r>
          </w:p>
        </w:tc>
        <w:tc>
          <w:tcPr>
            <w:tcW w:type="dxa" w:w="2160"/>
          </w:tcPr>
          <w:p>
            <w:r>
              <w:t>Technical data sheets or manuals shall be provided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4.2.8.3-3</w:t>
            </w:r>
          </w:p>
        </w:tc>
        <w:tc>
          <w:tcPr>
            <w:tcW w:type="dxa" w:w="2160"/>
          </w:tcPr>
          <w:p>
            <w:r>
              <w:t>Instructions for operation/security/maintenance: building hygiene (e.g. cleaning instructions, functioning pest control system) of the rooms (maintenance, maintenance, calibration, operation) and cleanroom conditions (monitoring)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Material quality</w:t>
      </w:r>
    </w:p>
    <w:tbl>
      <w:tblPr>
        <w:tblStyle w:val="Tabellengitternetz17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4.2.8.4-1</w:t>
            </w:r>
          </w:p>
        </w:tc>
        <w:tc>
          <w:tcPr>
            <w:tcW w:type="dxa" w:w="2160"/>
          </w:tcPr>
          <w:p>
            <w:r>
              <w:t>At least tooling 2.2 is required for materials that are product-related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4.2.8.4-2</w:t>
            </w:r>
          </w:p>
        </w:tc>
        <w:tc>
          <w:tcPr>
            <w:tcW w:type="dxa" w:w="2160"/>
          </w:tcPr>
          <w:p>
            <w:r>
              <w:t>Declarations of conformity according to 21 CFR 177 for product-related surfaces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4.2.8.4-3</w:t>
            </w:r>
          </w:p>
        </w:tc>
        <w:tc>
          <w:tcPr>
            <w:tcW w:type="dxa" w:w="2160"/>
          </w:tcPr>
          <w:p>
            <w:r>
              <w:t>Material certificates Seals Does not apply to RRM, as no product-contacted seals or product-contact sensors are installed and no material certificates are required.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4.2.8.4-4</w:t>
            </w:r>
          </w:p>
        </w:tc>
        <w:tc>
          <w:tcPr>
            <w:tcW w:type="dxa" w:w="2160"/>
          </w:tcPr>
          <w:p>
            <w:r>
              <w:t>Filter certificates (H14)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4.2.8.4-5</w:t>
            </w:r>
          </w:p>
        </w:tc>
        <w:tc>
          <w:tcPr>
            <w:tcW w:type="dxa" w:w="2160"/>
          </w:tcPr>
          <w:p>
            <w:r>
              <w:t>Sealing test/filter leak test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Training requirement</w:t>
      </w:r>
    </w:p>
    <w:tbl>
      <w:tblPr>
        <w:tblStyle w:val="Tabellengitternetz17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URS#/#FS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Classification</w:t>
            </w:r>
          </w:p>
        </w:tc>
        <w:tc>
          <w:tcPr>
            <w:tcW w:type="dxa" w:w="2160"/>
          </w:tcPr>
          <w:p>
            <w:r>
              <w:t>Fulfilled</w:t>
            </w:r>
          </w:p>
        </w:tc>
      </w:tr>
      <w:tr>
        <w:tc>
          <w:tcPr>
            <w:tcW w:type="dxa" w:w="2160"/>
          </w:tcPr>
          <w:p>
            <w:r>
              <w:t>4.2.8.5-1</w:t>
            </w:r>
          </w:p>
        </w:tc>
        <w:tc>
          <w:tcPr>
            <w:tcW w:type="dxa" w:w="2160"/>
          </w:tcPr>
          <w:p>
            <w:r>
              <w:t>Initial operator training must be carried out</w:t>
            </w:r>
          </w:p>
        </w:tc>
        <w:tc>
          <w:tcPr>
            <w:tcW w:type="dxa" w:w="2160"/>
          </w:tcPr>
          <w:p>
            <w:r>
              <w:t>GxP, necessary</w:t>
            </w:r>
          </w:p>
        </w:tc>
        <w:tc>
          <w:tcPr>
            <w:tcW w:type="dxa" w:w="2160"/>
          </w:tcPr>
          <w:p>
            <w:r>
              <w:t>J</w:t>
            </w:r>
          </w:p>
        </w:tc>
      </w:tr>
    </w:tbl>
    <w:p/>
    <w:p/>
    <w:p/>
    <w:p/>
    <w:p/>
    <w:p/>
    <w:p/>
    <w:p>
      <w:pPr>
        <w:pStyle w:val="berschrift1"/>
      </w:pPr>
      <w:r>
        <w:rPr>
          <w:rFonts w:ascii="Montserrat" w:hAnsi="Montserrat"/>
        </w:rPr>
        <w:t>Documents quoted or accompanying</w:t>
      </w:r>
    </w:p>
    <w:p>
      <w:pPr>
        <w:pStyle w:val="Standard"/>
      </w:pPr>
      <w:r>
        <w:rPr>
          <w:rFonts w:ascii="Montserrat" w:hAnsi="Montserrat"/>
          <w:sz w:val="20"/>
        </w:rPr>
        <w:t>GMP-I_GRA_RR</w:t>
      </w:r>
      <w:r>
        <w:rPr>
          <w:rFonts w:ascii="Montserrat" w:hAnsi="Montserrat"/>
          <w:sz w:val="20"/>
        </w:rPr>
        <w:t>GMP relevance analysis Systems Cleanroom</w:t>
      </w:r>
    </w:p>
    <w:p>
      <w:pPr>
        <w:pStyle w:val="Standard"/>
      </w:pPr>
      <w:r>
        <w:rPr>
          <w:rFonts w:ascii="Montserrat" w:hAnsi="Montserrat"/>
          <w:sz w:val="20"/>
        </w:rPr>
        <w:t>GMP-I_GRA_RR_MS</w:t>
      </w:r>
      <w:r>
        <w:rPr>
          <w:rFonts w:ascii="Montserrat" w:hAnsi="Montserrat"/>
          <w:sz w:val="20"/>
        </w:rPr>
        <w:t>GMP-</w:t>
      </w:r>
      <w:r>
        <w:rPr>
          <w:rFonts w:ascii="Montserrat" w:hAnsi="Montserrat"/>
          <w:sz w:val="20"/>
        </w:rPr>
        <w:t>Relevance</w:t>
      </w:r>
      <w:r>
        <w:rPr>
          <w:rFonts w:ascii="Montserrat" w:hAnsi="Montserrat"/>
          <w:sz w:val="20"/>
        </w:rPr>
        <w:t>Analysis</w:t>
      </w:r>
      <w:r>
        <w:rPr>
          <w:rFonts w:ascii="Montserrat" w:hAnsi="Montserrat"/>
          <w:sz w:val="20"/>
        </w:rPr>
        <w:t>Systems</w:t>
      </w:r>
      <w:r>
        <w:rPr>
          <w:rFonts w:ascii="Montserrat" w:hAnsi="Montserrat"/>
          <w:sz w:val="20"/>
        </w:rPr>
        <w:t>Cleanroom</w:t>
      </w:r>
      <w:r>
        <w:rPr>
          <w:rFonts w:ascii="Montserrat" w:hAnsi="Montserrat"/>
          <w:sz w:val="20"/>
        </w:rPr>
        <w:t>Monitoring</w:t>
      </w:r>
    </w:p>
    <w:p>
      <w:pPr>
        <w:pStyle w:val="Standard"/>
      </w:pPr>
      <w:r>
        <w:rPr>
          <w:rFonts w:ascii="Montserrat" w:hAnsi="Montserrat"/>
          <w:sz w:val="20"/>
        </w:rPr>
        <w:t>EU GMP Part II</w:t>
      </w:r>
      <w:r>
        <w:rPr>
          <w:rFonts w:ascii="Montserrat" w:hAnsi="Montserrat"/>
          <w:sz w:val="20"/>
        </w:rPr>
        <w:t>Basic requirements for active substances used as starting materials</w:t>
      </w:r>
    </w:p>
    <w:p>
      <w:pPr>
        <w:pStyle w:val="Standard"/>
      </w:pP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sz w:val="20"/>
        </w:rPr>
        <w:t>Annices</w:t>
      </w:r>
    </w:p>
    <w:p>
      <w:pPr>
        <w:pStyle w:val="Standard"/>
      </w:pPr>
      <w:r>
        <w:rPr>
          <w:rFonts w:ascii="Montserrat" w:hAnsi="Montserrat"/>
          <w:sz w:val="20"/>
        </w:rPr>
        <w:t>VDI 6022</w:t>
      </w:r>
      <w:r>
        <w:rPr>
          <w:rFonts w:ascii="Montserrat" w:hAnsi="Montserrat"/>
          <w:sz w:val="20"/>
        </w:rPr>
        <w:t>Indoor air technology, indoor air quality</w:t>
      </w:r>
    </w:p>
    <w:p>
      <w:pPr>
        <w:pStyle w:val="Standard"/>
      </w:pPr>
      <w:r>
        <w:rPr>
          <w:rFonts w:ascii="Montserrat" w:hAnsi="Montserrat"/>
          <w:sz w:val="20"/>
        </w:rPr>
        <w:t>21 CFR</w:t>
      </w:r>
      <w:r>
        <w:rPr>
          <w:rFonts w:ascii="Montserrat" w:hAnsi="Montserrat"/>
          <w:sz w:val="20"/>
        </w:rPr>
        <w:t>Title 21</w:t>
      </w:r>
      <w:r>
        <w:rPr>
          <w:rFonts w:ascii="Montserrat" w:hAnsi="Montserrat"/>
          <w:sz w:val="20"/>
        </w:rPr>
        <w:t>of</w:t>
      </w:r>
      <w:r>
        <w:rPr>
          <w:rFonts w:ascii="Montserrat" w:hAnsi="Montserrat"/>
          <w:sz w:val="20"/>
        </w:rPr>
        <w:t>Code</w:t>
      </w:r>
      <w:r>
        <w:rPr>
          <w:rFonts w:ascii="Montserrat" w:hAnsi="Montserrat"/>
          <w:sz w:val="20"/>
        </w:rPr>
        <w:t>of</w:t>
      </w:r>
      <w:r>
        <w:rPr>
          <w:rFonts w:ascii="Montserrat" w:hAnsi="Montserrat"/>
          <w:sz w:val="20"/>
        </w:rPr>
        <w:t>Federal</w:t>
      </w:r>
      <w:r>
        <w:rPr>
          <w:rFonts w:ascii="Montserrat" w:hAnsi="Montserrat"/>
          <w:sz w:val="20"/>
        </w:rPr>
        <w:t>Regulation</w:t>
      </w:r>
    </w:p>
    <w:p>
      <w:pPr>
        <w:pStyle w:val="Standard"/>
      </w:pPr>
      <w:r>
        <w:rPr>
          <w:rFonts w:ascii="Montserrat" w:hAnsi="Montserrat"/>
          <w:sz w:val="20"/>
        </w:rPr>
        <w:t>COMMUNICATION</w:t>
      </w:r>
      <w:r>
        <w:rPr>
          <w:rFonts w:ascii="Montserrat" w:hAnsi="Montserrat"/>
          <w:sz w:val="20"/>
        </w:rPr>
        <w:t>pharmacovigilance and active substance manufacturing regulation</w:t>
      </w:r>
    </w:p>
    <w:p>
      <w:pPr>
        <w:pStyle w:val="Standard"/>
      </w:pPr>
      <w:r>
        <w:rPr>
          <w:rFonts w:ascii="Montserrat" w:hAnsi="Montserrat"/>
          <w:sz w:val="20"/>
        </w:rPr>
        <w:t>EU GMP Part II</w:t>
      </w:r>
      <w:r>
        <w:rPr>
          <w:rFonts w:ascii="Montserrat" w:hAnsi="Montserrat"/>
          <w:sz w:val="20"/>
        </w:rPr>
        <w:t>Basic requirements for active substances used as</w:t>
      </w:r>
    </w:p>
    <w:p>
      <w:pPr>
        <w:pStyle w:val="Standard"/>
      </w:pP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sz w:val="20"/>
        </w:rPr>
        <w:t>Annices</w:t>
      </w:r>
      <w:r>
        <w:rPr>
          <w:rFonts w:ascii="Montserrat" w:hAnsi="Montserrat"/>
          <w:sz w:val="20"/>
        </w:rPr>
        <w:t>starting</w:t>
      </w:r>
      <w:r>
        <w:rPr>
          <w:rFonts w:ascii="Montserrat" w:hAnsi="Montserrat"/>
          <w:sz w:val="20"/>
        </w:rPr>
        <w:t>materials</w:t>
      </w:r>
    </w:p>
    <w:p>
      <w:pPr>
        <w:pStyle w:val="berschrift1"/>
      </w:pPr>
      <w:r>
        <w:rPr>
          <w:rFonts w:ascii="Montserrat" w:hAnsi="Montserrat"/>
        </w:rPr>
        <w:t>Annexes</w:t>
      </w:r>
    </w:p>
    <w:p>
      <w:pPr>
        <w:pStyle w:val="Standard"/>
      </w:pPr>
      <w:r>
        <w:rPr>
          <w:rFonts w:ascii="Montserrat" w:hAnsi="Montserrat"/>
          <w:sz w:val="20"/>
        </w:rPr>
        <w:t>GMP-I_RR_URS A1</w:t>
      </w:r>
      <w:r>
        <w:rPr>
          <w:rFonts w:ascii="Montserrat" w:hAnsi="Montserrat"/>
          <w:sz w:val="20"/>
        </w:rPr>
        <w:t>GMP-</w:t>
      </w:r>
      <w:r>
        <w:rPr>
          <w:rFonts w:ascii="Montserrat" w:hAnsi="Montserrat"/>
          <w:sz w:val="20"/>
        </w:rPr>
        <w:t>Spacebook</w:t>
      </w:r>
    </w:p>
    <w:p>
      <w:pPr>
        <w:pStyle w:val="Standard"/>
      </w:pPr>
      <w:r>
        <w:rPr>
          <w:rFonts w:ascii="Montserrat" w:hAnsi="Montserrat"/>
          <w:sz w:val="20"/>
        </w:rPr>
        <w:t>GMP-I_RR_URS A2</w:t>
      </w:r>
      <w:r>
        <w:rPr>
          <w:rFonts w:ascii="Montserrat" w:hAnsi="Montserrat"/>
          <w:sz w:val="20"/>
        </w:rPr>
        <w:t>Media connections in RR</w:t>
      </w:r>
    </w:p>
    <w:p>
      <w:pPr>
        <w:pStyle w:val="Standard"/>
      </w:pPr>
      <w:r>
        <w:rPr>
          <w:rFonts w:ascii="Montserrat" w:hAnsi="Montserrat"/>
          <w:sz w:val="20"/>
        </w:rPr>
        <w:t>GMP-I_RR_URS A3</w:t>
      </w:r>
      <w:r>
        <w:rPr>
          <w:rFonts w:ascii="Montserrat" w:hAnsi="Montserrat"/>
          <w:sz w:val="20"/>
        </w:rPr>
        <w:t>Clothing concept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