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Muted"/>
      </w:pPr>
      <w:r>
        <w:rPr>
          <w:b/>
        </w:rPr>
        <w:t>COMPETITION RESEARCH / SOURCE-ANCHORED ANALYSIS</w:t>
      </w:r>
    </w:p>
    <w:p>
      <w:pPr>
        <w:pStyle w:val="Title"/>
      </w:pPr>
      <w:r>
        <w:t>QuantEdge Knowledge Analysis</w:t>
      </w:r>
    </w:p>
    <w:p>
      <w:r>
        <w:rPr>
          <w:b/>
          <w:color w:val="167B89"/>
          <w:sz w:val="28"/>
        </w:rPr>
        <w:t>Batch 01  |  Slides 01–20 of 99</w:t>
      </w:r>
    </w:p>
    <w:p>
      <w:r>
        <w:t>EDGEFORGE 2026 — From Financial Markets to Quantitative Investment Decisions</w:t>
      </w:r>
    </w:p>
    <w:p>
      <w:pPr>
        <w:pStyle w:val="SmallMuted"/>
      </w:pPr>
      <w:r>
        <w:t>Prepared 27 October 2026  •  Source: uploaded PowerPoint, including presenter notes  •  No external verification applied</w:t>
      </w:r>
    </w:p>
    <w:p>
      <w:r>
        <w:rPr>
          <w:b/>
        </w:rPr>
        <w:t xml:space="preserve">Purpose. </w:t>
      </w:r>
      <w:r>
        <w:t>Convert the source deck into a traceable, reusable body of competition knowledge. Summaries retain the author’s meaning; applications are explicitly labeled as recommendations for our QuantEdge workflow. This is the first of five 20-slide batches (the final batch contains 19 slides).</w:t>
      </w:r>
    </w:p>
    <w:p>
      <w:pPr>
        <w:pStyle w:val="Heading1"/>
      </w:pPr>
      <w:r>
        <w:t>How to read this knowledge base</w:t>
      </w:r>
    </w:p>
    <w:p>
      <w:pPr/>
      <w:r>
        <w:rPr>
          <w:b/>
          <w:color w:val="167B89"/>
        </w:rPr>
        <w:t xml:space="preserve">SOURCE FACT —  </w:t>
      </w:r>
      <w:r>
        <w:t>Direct or closely paraphrased content of the slide and presenter notes.</w:t>
      </w:r>
    </w:p>
    <w:p>
      <w:pPr/>
      <w:r>
        <w:rPr>
          <w:b/>
          <w:color w:val="167B89"/>
        </w:rPr>
        <w:t xml:space="preserve">QUANTEDGE APPLICATION —  </w:t>
      </w:r>
      <w:r>
        <w:t>A proposed use of that source content in our project; not an organizer instruction.</w:t>
      </w:r>
    </w:p>
    <w:p>
      <w:pPr/>
      <w:r>
        <w:rPr>
          <w:b/>
          <w:color w:val="167B89"/>
        </w:rPr>
        <w:t xml:space="preserve">CAUTION —  </w:t>
      </w:r>
      <w:r>
        <w:t>A misconception, condition or uncertainty that could invalidate a decision.</w:t>
      </w:r>
    </w:p>
    <w:p>
      <w:pPr/>
      <w:r>
        <w:rPr>
          <w:b/>
          <w:color w:val="167B89"/>
        </w:rPr>
        <w:t xml:space="preserve">SLIDE NUMBER —  </w:t>
      </w:r>
      <w:r>
        <w:t>Exact 1-based slide position in the uploaded 99-slide deck.</w:t>
      </w:r>
    </w:p>
    <w:p>
      <w:pPr>
        <w:pStyle w:val="SmallMuted"/>
      </w:pPr>
      <w:r>
        <w:t>Authority boundary: This lecture uses a draft competition concept. Any official instruction, eligibility rule, submission criterion or rubric must be checked against the current organizer-issued brief.</w:t>
      </w:r>
    </w:p>
    <w:p>
      <w:pPr>
        <w:pStyle w:val="Heading1"/>
      </w:pPr>
      <w:r>
        <w:t>Executive findings | What matters most</w:t>
      </w:r>
    </w:p>
    <w:p>
      <w:r>
        <w:rPr>
          <w:b/>
          <w:color w:val="167B89"/>
        </w:rPr>
        <w:t xml:space="preserve">01  Mandate and deliverable are an investment decision, not only a model.  </w:t>
      </w:r>
      <w:r>
        <w:t>Slide 4: the illustrative client is conservative with USD 10m and a three-year horizon; the expected research integrates portfolio selection, downside-risk metrics, testing and a defensible memo.</w:t>
      </w:r>
    </w:p>
    <w:p>
      <w:r>
        <w:rPr>
          <w:b/>
          <w:color w:val="167B89"/>
        </w:rPr>
        <w:t xml:space="preserve">02  Rules must be verified with the organizer.  </w:t>
      </w:r>
      <w:r>
        <w:t>Presenter notes on slide 4 explicitly warn that the source is a draft concept; do not lock a universe, rubric or condition without current official confirmation.</w:t>
      </w:r>
    </w:p>
    <w:p>
      <w:r>
        <w:rPr>
          <w:b/>
          <w:color w:val="167B89"/>
        </w:rPr>
        <w:t xml:space="preserve">03  Instrument identity determines valid data.  </w:t>
      </w:r>
      <w:r>
        <w:t>Slides 5, 8 and 13–18 insist on matching cash flows, adjusted total returns, exchange rates, coupons, collateral and futures rolls to actual holdings.</w:t>
      </w:r>
    </w:p>
    <w:p>
      <w:r>
        <w:rPr>
          <w:b/>
          <w:color w:val="167B89"/>
        </w:rPr>
        <w:t xml:space="preserve">04  Performance must survive realistic execution.  </w:t>
      </w:r>
      <w:r>
        <w:t>Slides 3 and 9 show that spreads, market impact, fees, clearing and liquidity can erase a statistically appealing signal.</w:t>
      </w:r>
    </w:p>
    <w:p>
      <w:r>
        <w:rPr>
          <w:b/>
          <w:color w:val="167B89"/>
        </w:rPr>
        <w:t xml:space="preserve">05  Client suitability outranks purely mathematical efficiency.  </w:t>
      </w:r>
      <w:r>
        <w:t>Slides 3–5: a highly ranked or statistically efficient portfolio may be unsuitable due to loss limits or liquidity constraints.</w:t>
      </w:r>
    </w:p>
    <w:p>
      <w:r>
        <w:rPr>
          <w:b/>
          <w:color w:val="167B89"/>
        </w:rPr>
        <w:t xml:space="preserve">06  Simple and log returns serve different purposes.  </w:t>
      </w:r>
      <w:r>
        <w:t>Slides 14–16 distinguish wealth compounding and portfolio simple returns from time-additive single-series log returns.</w:t>
      </w:r>
    </w:p>
    <w:p>
      <w:r>
        <w:rPr>
          <w:b/>
          <w:color w:val="167B89"/>
        </w:rPr>
        <w:t xml:space="preserve">07  Futures term structure is not trade history.  </w:t>
      </w:r>
      <w:r>
        <w:t>Slides 19–20 distinguish the maturity-curve snapshot from a contract’s price path and reject fictitious instant roll losses.</w:t>
      </w:r>
    </w:p>
    <w:p>
      <w:r>
        <w:br w:type="page"/>
      </w:r>
    </w:p>
    <w:p>
      <w:pPr>
        <w:pStyle w:val="Heading1"/>
      </w:pPr>
      <w:r>
        <w:t>Competition mandate captured in the lecture</w:t>
      </w:r>
    </w:p>
    <w:tbl>
      <w:tblPr>
        <w:tblW w:type="auto" w:w="0"/>
        <w:tblLayout w:type="fixed"/>
        <w:tblLook w:firstColumn="1" w:firstRow="1" w:lastColumn="0" w:lastRow="0" w:noHBand="0" w:noVBand="1" w:val="04A0"/>
      </w:tblPr>
      <w:tblGrid>
        <w:gridCol w:w="2304"/>
        <w:gridCol w:w="6912"/>
      </w:tblGrid>
      <w:tr>
        <w:tc>
          <w:tcPr>
            <w:tcW w:type="dxa" w:w="2304"/>
            <w:vAlign w:val="center"/>
            <w:shd w:fill="F3F6FA"/>
          </w:tcPr>
          <w:p>
            <w:r>
              <w:rPr>
                <w:b/>
                <w:color w:val="167B89"/>
              </w:rPr>
              <w:t>Client</w:t>
            </w:r>
          </w:p>
        </w:tc>
        <w:tc>
          <w:tcPr>
            <w:tcW w:type="dxa" w:w="6912"/>
            <w:vAlign w:val="center"/>
            <w:shd w:fill="F3F6FA"/>
          </w:tcPr>
          <w:p>
            <w:r>
              <w:t>Conservative institutional investor</w:t>
            </w:r>
          </w:p>
        </w:tc>
      </w:tr>
      <w:tr>
        <w:tc>
          <w:tcPr>
            <w:tcW w:type="dxa" w:w="2304"/>
            <w:vAlign w:val="center"/>
          </w:tcPr>
          <w:p>
            <w:r>
              <w:rPr>
                <w:b/>
                <w:color w:val="167B89"/>
              </w:rPr>
              <w:t>Capital / horizon</w:t>
            </w:r>
          </w:p>
        </w:tc>
        <w:tc>
          <w:tcPr>
            <w:tcW w:type="dxa" w:w="6912"/>
            <w:vAlign w:val="center"/>
          </w:tcPr>
          <w:p>
            <w:r>
              <w:t>USD 10 million; three-year investment horizon</w:t>
            </w:r>
          </w:p>
        </w:tc>
      </w:tr>
      <w:tr>
        <w:tc>
          <w:tcPr>
            <w:tcW w:type="dxa" w:w="2304"/>
            <w:vAlign w:val="center"/>
            <w:shd w:fill="F3F6FA"/>
          </w:tcPr>
          <w:p>
            <w:r>
              <w:rPr>
                <w:b/>
                <w:color w:val="167B89"/>
              </w:rPr>
              <w:t>Indicated universe</w:t>
            </w:r>
          </w:p>
        </w:tc>
        <w:tc>
          <w:tcPr>
            <w:tcW w:type="dxa" w:w="6912"/>
            <w:vAlign w:val="center"/>
            <w:shd w:fill="F3F6FA"/>
          </w:tcPr>
          <w:p>
            <w:r>
              <w:t>Global equity, bond and commodity instruments; optional currency and local exposure</w:t>
            </w:r>
          </w:p>
        </w:tc>
      </w:tr>
      <w:tr>
        <w:tc>
          <w:tcPr>
            <w:tcW w:type="dxa" w:w="2304"/>
            <w:vAlign w:val="center"/>
          </w:tcPr>
          <w:p>
            <w:r>
              <w:rPr>
                <w:b/>
                <w:color w:val="167B89"/>
              </w:rPr>
              <w:t>Research task</w:t>
            </w:r>
          </w:p>
        </w:tc>
        <w:tc>
          <w:tcPr>
            <w:tcW w:type="dxa" w:w="6912"/>
            <w:vAlign w:val="center"/>
          </w:tcPr>
          <w:p>
            <w:r>
              <w:t>Select portfolio; estimate VaR, ES and EVT; test models and stress scenarios</w:t>
            </w:r>
          </w:p>
        </w:tc>
      </w:tr>
      <w:tr>
        <w:tc>
          <w:tcPr>
            <w:tcW w:type="dxa" w:w="2304"/>
            <w:vAlign w:val="center"/>
            <w:shd w:fill="F3F6FA"/>
          </w:tcPr>
          <w:p>
            <w:r>
              <w:rPr>
                <w:b/>
                <w:color w:val="167B89"/>
              </w:rPr>
              <w:t>Proposed deliverables</w:t>
            </w:r>
          </w:p>
        </w:tc>
        <w:tc>
          <w:tcPr>
            <w:tcW w:type="dxa" w:w="6912"/>
            <w:vAlign w:val="center"/>
            <w:shd w:fill="F3F6FA"/>
          </w:tcPr>
          <w:p>
            <w:r>
              <w:t>Reproducible Python, Streamlit app, investment committee memo</w:t>
            </w:r>
          </w:p>
        </w:tc>
      </w:tr>
      <w:tr>
        <w:tc>
          <w:tcPr>
            <w:tcW w:type="dxa" w:w="2304"/>
            <w:vAlign w:val="center"/>
          </w:tcPr>
          <w:p>
            <w:r>
              <w:rPr>
                <w:b/>
                <w:color w:val="167B89"/>
              </w:rPr>
              <w:t>Document status</w:t>
            </w:r>
          </w:p>
        </w:tc>
        <w:tc>
          <w:tcPr>
            <w:tcW w:type="dxa" w:w="6912"/>
            <w:vAlign w:val="center"/>
          </w:tcPr>
          <w:p>
            <w:r>
              <w:t>Conceptual masterclass / uploaded draft; not proof of final official rubric or eligible universe</w:t>
            </w:r>
          </w:p>
        </w:tc>
      </w:tr>
    </w:tbl>
    <w:p>
      <w:pPr>
        <w:pStyle w:val="Heading2"/>
      </w:pPr>
      <w:r>
        <w:t>Core decision chain</w:t>
      </w:r>
    </w:p>
    <w:p>
      <w:pPr>
        <w:jc w:val="center"/>
      </w:pPr>
      <w:r>
        <w:rPr>
          <w:b/>
          <w:color w:val="167B89"/>
          <w:sz w:val="20"/>
        </w:rPr>
        <w:t>INSTRUMENT  →  CASH FLOW  →  RETURN  →  DOWNSIDE RISK  →  SUITABLE DECISION</w:t>
      </w:r>
    </w:p>
    <w:p>
      <w:pPr/>
      <w:r>
        <w:rPr>
          <w:b/>
          <w:color w:val="167B89"/>
        </w:rPr>
        <w:t xml:space="preserve">Interpretation:  </w:t>
      </w:r>
      <w:r>
        <w:t>If the first two steps are wrong, sophisticated return forecasts, VaR/ES numbers or optimized asset weights may answer the wrong economic problem.</w:t>
      </w:r>
    </w:p>
    <w:p>
      <w:pPr>
        <w:pStyle w:val="Heading1"/>
      </w:pPr>
      <w:r>
        <w:t>Slide-by-slide content analysis</w:t>
      </w:r>
    </w:p>
    <w:p>
      <w:pPr>
        <w:pStyle w:val="SmallMuted"/>
      </w:pPr>
      <w:r>
        <w:t>The following entries intentionally preserve the deck’s order. Each slide is assigned a stable B01-Sxx knowledge reference for later expansion and cross-referencing.</w:t>
      </w:r>
    </w:p>
    <w:p>
      <w:pPr>
        <w:pStyle w:val="Heading2"/>
      </w:pPr>
      <w:r>
        <w:t>B01-S01  |  Slide 01  —  From financial markets to quantitative investment decisions</w:t>
      </w:r>
    </w:p>
    <w:p>
      <w:pPr>
        <w:pStyle w:val="SmallMuted"/>
      </w:pPr>
      <w:r>
        <w:t>TOPIC  PURPOSE AND FRAMING</w:t>
      </w:r>
    </w:p>
    <w:p>
      <w:pPr/>
      <w:r>
        <w:rPr>
          <w:b/>
          <w:color w:val="167B89"/>
        </w:rPr>
        <w:t xml:space="preserve">Source essence:  </w:t>
      </w:r>
      <w:r>
        <w:t>The masterclass teaches the financial interpretation behind quantitative methods: what institutions actually buy, sell, margin, hedge, measure and explain. Mathematics is a tool, not the final investment recommendation.</w:t>
      </w:r>
    </w:p>
    <w:p>
      <w:pPr/>
      <w:r>
        <w:rPr>
          <w:b/>
          <w:color w:val="167B89"/>
        </w:rPr>
        <w:t xml:space="preserve">Concept / explanation:  </w:t>
      </w:r>
      <w:r>
        <w:t>The course connects derivatives trading, multi-asset portfolios, tail risk and machine learning through the sequence Markets → Models → Decisions. It intentionally emphasizes economic interpretation over mathematical complexity.</w:t>
      </w:r>
    </w:p>
    <w:p>
      <w:pPr/>
      <w:r>
        <w:rPr>
          <w:b/>
          <w:color w:val="167B89"/>
        </w:rPr>
        <w:t xml:space="preserve">QuantEdge application:  </w:t>
      </w:r>
      <w:r>
        <w:t>For QuantEdge, every major model output must be connected to an instrument, cash flow, risk exposure and committee decision.</w:t>
      </w:r>
    </w:p>
    <w:p>
      <w:pPr/>
      <w:r>
        <w:rPr>
          <w:b/>
          <w:color w:val="167B89"/>
        </w:rPr>
        <w:t xml:space="preserve">Critical caution:  </w:t>
      </w:r>
      <w:r>
        <w:t>Do not mistake a presentation of sophisticated methods for proof of an executable strategy.</w:t>
      </w:r>
    </w:p>
    <w:p>
      <w:pPr>
        <w:pStyle w:val="Heading2"/>
      </w:pPr>
      <w:r>
        <w:t>B01-S02  |  Slide 02  —  Session roadmap</w:t>
      </w:r>
    </w:p>
    <w:p>
      <w:pPr>
        <w:pStyle w:val="SmallMuted"/>
      </w:pPr>
      <w:r>
        <w:t>TOPIC  SEVEN-STAGE RESEARCH SEQUENCE</w:t>
      </w:r>
    </w:p>
    <w:p>
      <w:pPr/>
      <w:r>
        <w:rPr>
          <w:b/>
          <w:color w:val="167B89"/>
        </w:rPr>
        <w:t xml:space="preserve">Source essence:  </w:t>
      </w:r>
      <w:r>
        <w:t>The lesson proceeds from markets (10 min), prices and returns (15), trading mechanics (25), portfolios (15), interpreting models (15), downside and dependence (20), to ML and governance (20).</w:t>
      </w:r>
    </w:p>
    <w:p>
      <w:pPr/>
      <w:r>
        <w:rPr>
          <w:b/>
          <w:color w:val="167B89"/>
        </w:rPr>
        <w:t xml:space="preserve">Concept / explanation:  </w:t>
      </w:r>
      <w:r>
        <w:t>The sequencing is deliberate: define contract and settlement before selecting return series, portfolio optimizer or risk model. The speaker frames every stage with four questions: What is the trade? What cash moves? What could go wrong? Which result changes a decision?</w:t>
      </w:r>
    </w:p>
    <w:p>
      <w:pPr/>
      <w:r>
        <w:rPr>
          <w:b/>
          <w:color w:val="167B89"/>
        </w:rPr>
        <w:t xml:space="preserve">QuantEdge application:  </w:t>
      </w:r>
      <w:r>
        <w:t>Use this sequence as a review order for our project work: instrument → returns → execution → allocation → risk models → validation → investment committee output.</w:t>
      </w:r>
    </w:p>
    <w:p>
      <w:pPr/>
      <w:r>
        <w:rPr>
          <w:b/>
          <w:color w:val="167B89"/>
        </w:rPr>
        <w:t xml:space="preserve">Critical caution:  </w:t>
      </w:r>
      <w:r>
        <w:t>The timings are teaching allocations, not competition deadlines or project task durations.</w:t>
      </w:r>
    </w:p>
    <w:p>
      <w:pPr>
        <w:pStyle w:val="Heading2"/>
      </w:pPr>
      <w:r>
        <w:t>B01-S03  |  Slide 03  —  Mathematical skill is a starting point</w:t>
      </w:r>
    </w:p>
    <w:p>
      <w:pPr>
        <w:pStyle w:val="SmallMuted"/>
      </w:pPr>
      <w:r>
        <w:t>TOPIC  IMPLEMENTATION AND SUITABILITY</w:t>
      </w:r>
    </w:p>
    <w:p>
      <w:pPr/>
      <w:r>
        <w:rPr>
          <w:b/>
          <w:color w:val="167B89"/>
        </w:rPr>
        <w:t xml:space="preserve">Source essence:  </w:t>
      </w:r>
      <w:r>
        <w:t>A good prediction may be worthless if execution is impossible or costly. A future creates exposure, daily settlement and margin needs rather than physical ownership. Statistical efficiency does not guarantee mandate suitability.</w:t>
      </w:r>
    </w:p>
    <w:p>
      <w:pPr/>
      <w:r>
        <w:rPr>
          <w:b/>
          <w:color w:val="167B89"/>
        </w:rPr>
        <w:t xml:space="preserve">Concept / explanation:  </w:t>
      </w:r>
      <w:r>
        <w:t>Prediction accuracy is not realized return: fees, false positives, price impact and liquidity change the result. Every quantitative output should imply buy, sell, hedge, size, rebalance or reject.</w:t>
      </w:r>
    </w:p>
    <w:p>
      <w:pPr/>
      <w:r>
        <w:rPr>
          <w:b/>
          <w:color w:val="167B89"/>
        </w:rPr>
        <w:t xml:space="preserve">QuantEdge application:  </w:t>
      </w:r>
      <w:r>
        <w:t>In our report, connect models to specific trading or portfolio actions and check the conservative investor’s downside and liquidity budget before accepting any optimized weights.</w:t>
      </w:r>
    </w:p>
    <w:p>
      <w:pPr/>
      <w:r>
        <w:rPr>
          <w:b/>
          <w:color w:val="167B89"/>
        </w:rPr>
        <w:t xml:space="preserve">Critical caution:  </w:t>
      </w:r>
      <w:r>
        <w:t>A claimed 70% forecast classification accuracy does not establish a profitable strategy.</w:t>
      </w:r>
    </w:p>
    <w:p>
      <w:pPr>
        <w:pStyle w:val="Heading2"/>
      </w:pPr>
      <w:r>
        <w:t>B01-S04  |  Slide 04  —  The competition mandate is our anchor</w:t>
      </w:r>
    </w:p>
    <w:p>
      <w:pPr>
        <w:pStyle w:val="SmallMuted"/>
      </w:pPr>
      <w:r>
        <w:t>TOPIC  COMPETITION-CRITICAL BRIEF</w:t>
      </w:r>
    </w:p>
    <w:p>
      <w:pPr/>
      <w:r>
        <w:rPr>
          <w:b/>
          <w:color w:val="167B89"/>
        </w:rPr>
        <w:t xml:space="preserve">Source essence:  </w:t>
      </w:r>
      <w:r>
        <w:t>Slide’s client example is a conservative institutional investor with USD 10 million over three years. The indicated investable universe spans global equity, bond and commodity instruments, with optional currency and local exposure.</w:t>
      </w:r>
    </w:p>
    <w:p>
      <w:pPr/>
      <w:r>
        <w:rPr>
          <w:b/>
          <w:color w:val="167B89"/>
        </w:rPr>
        <w:t xml:space="preserve">Concept / explanation:  </w:t>
      </w:r>
      <w:r>
        <w:t>The research task is to choose a portfolio; estimate VaR, ES and EVT; test models and stress scenarios. The proposed outputs are reproducible Python, a Streamlit application and an investment committee memo. Suitability, accountability and a defensible recommendation matter more than dashboard aesthetics.</w:t>
      </w:r>
    </w:p>
    <w:p>
      <w:pPr/>
      <w:r>
        <w:rPr>
          <w:b/>
          <w:color w:val="167B89"/>
        </w:rPr>
        <w:t xml:space="preserve">QuantEdge application:  </w:t>
      </w:r>
      <w:r>
        <w:t>Treat client objective, risk budget, realistic investable menu, validation, code reproducibility and clear final recommendation as core QuantEdge workstreams.</w:t>
      </w:r>
    </w:p>
    <w:p>
      <w:pPr/>
      <w:r>
        <w:rPr>
          <w:b/>
          <w:color w:val="167B89"/>
        </w:rPr>
        <w:t xml:space="preserve">Critical caution:  </w:t>
      </w:r>
      <w:r>
        <w:t>Important source qualification: the notes say the concept document called the event “Alpha Challenge” while the event is branded QuantEdge 1.0. The investment universe and rubric are not asserted to be final official rules; verify against latest organizer instructions.</w:t>
      </w:r>
    </w:p>
    <w:p>
      <w:pPr>
        <w:pStyle w:val="Heading2"/>
      </w:pPr>
      <w:r>
        <w:t>B01-S05  |  Slide 05  —  Five questions every quantitative investor answers</w:t>
      </w:r>
    </w:p>
    <w:p>
      <w:pPr>
        <w:pStyle w:val="SmallMuted"/>
      </w:pPr>
      <w:r>
        <w:t>TOPIC  INVESTMENT DECISION FRAMEWORK</w:t>
      </w:r>
    </w:p>
    <w:p>
      <w:pPr/>
      <w:r>
        <w:rPr>
          <w:b/>
          <w:color w:val="167B89"/>
        </w:rPr>
        <w:t xml:space="preserve">Source essence:  </w:t>
      </w:r>
      <w:r>
        <w:t>1 Market: what is actually traded? 2 Cash flow: when does money or margin move? 3 Return: where does profit/loss arise? 4 Risk: how bad can downside become? 5 Decision: is the exposure suitable and executable?</w:t>
      </w:r>
    </w:p>
    <w:p>
      <w:pPr/>
      <w:r>
        <w:rPr>
          <w:b/>
          <w:color w:val="167B89"/>
        </w:rPr>
        <w:t xml:space="preserve">Concept / explanation:  </w:t>
      </w:r>
      <w:r>
        <w:t>A mathematical forecast is an intermediate signal. Broker commissions, financing, taxes, margin, execution and liquidity shape net investor outcomes.</w:t>
      </w:r>
    </w:p>
    <w:p>
      <w:pPr/>
      <w:r>
        <w:rPr>
          <w:b/>
          <w:color w:val="167B89"/>
        </w:rPr>
        <w:t xml:space="preserve">QuantEdge application:  </w:t>
      </w:r>
      <w:r>
        <w:t>Use these five questions as a mandatory checklist for each proposed asset, strategy, derivative overlay and backtest.</w:t>
      </w:r>
    </w:p>
    <w:p>
      <w:pPr/>
      <w:r>
        <w:rPr>
          <w:b/>
          <w:color w:val="167B89"/>
        </w:rPr>
        <w:t xml:space="preserve">Critical caution:  </w:t>
      </w:r>
      <w:r>
        <w:t>Data selection should follow the actual financial claim and its cash-flow rules, not convenient price availability.</w:t>
      </w:r>
    </w:p>
    <w:p>
      <w:pPr>
        <w:pStyle w:val="Heading2"/>
      </w:pPr>
      <w:r>
        <w:t>B01-S06  |  Slide 06  —  Module 1 introduction: financial markets</w:t>
      </w:r>
    </w:p>
    <w:p>
      <w:pPr>
        <w:pStyle w:val="SmallMuted"/>
      </w:pPr>
      <w:r>
        <w:t>TOPIC  TRANSITION SLIDE</w:t>
      </w:r>
    </w:p>
    <w:p>
      <w:pPr/>
      <w:r>
        <w:rPr>
          <w:b/>
          <w:color w:val="167B89"/>
        </w:rPr>
        <w:t xml:space="preserve">Source essence:  </w:t>
      </w:r>
      <w:r>
        <w:t>Markets are discussed before econometric tools so that the origin of prices, instrument rights and settlement procedures are understood.</w:t>
      </w:r>
    </w:p>
    <w:p>
      <w:pPr/>
      <w:r>
        <w:rPr>
          <w:b/>
          <w:color w:val="167B89"/>
        </w:rPr>
        <w:t xml:space="preserve">Concept / explanation:  </w:t>
      </w:r>
      <w:r>
        <w:t>Distinguish cash from derivatives, exchange from over-the-counter (OTC) trading, and market participant motives.</w:t>
      </w:r>
    </w:p>
    <w:p>
      <w:pPr/>
      <w:r>
        <w:rPr>
          <w:b/>
          <w:color w:val="167B89"/>
        </w:rPr>
        <w:t xml:space="preserve">QuantEdge application:  </w:t>
      </w:r>
      <w:r>
        <w:t>Define how each QuantEdge asset or permitted instrument would be acquired, priced and settled.</w:t>
      </w:r>
    </w:p>
    <w:p>
      <w:pPr/>
      <w:r>
        <w:rPr>
          <w:b/>
          <w:color w:val="167B89"/>
        </w:rPr>
        <w:t xml:space="preserve">Critical caution:  </w:t>
      </w:r>
      <w:r>
        <w:t>This slide introduces a module; it does not itself impose a new competition rule.</w:t>
      </w:r>
    </w:p>
    <w:p>
      <w:pPr>
        <w:pStyle w:val="Heading2"/>
      </w:pPr>
      <w:r>
        <w:t>B01-S07  |  Slide 07  —  Markets transfer capital and risk</w:t>
      </w:r>
    </w:p>
    <w:p>
      <w:pPr>
        <w:pStyle w:val="SmallMuted"/>
      </w:pPr>
      <w:r>
        <w:t>TOPIC  FOUR FINANCIAL MARKET FAMILIES</w:t>
      </w:r>
    </w:p>
    <w:p>
      <w:pPr/>
      <w:r>
        <w:rPr>
          <w:b/>
          <w:color w:val="167B89"/>
        </w:rPr>
        <w:t xml:space="preserve">Source essence:  </w:t>
      </w:r>
      <w:r>
        <w:t>Equity transfers ownership claims; debt creates contractual payments; FX transfers currency purchasing power; derivatives transfer price, rate, volatility or credit exposure.</w:t>
      </w:r>
    </w:p>
    <w:p>
      <w:pPr/>
      <w:r>
        <w:rPr>
          <w:b/>
          <w:color w:val="167B89"/>
        </w:rPr>
        <w:t xml:space="preserve">Concept / explanation:  </w:t>
      </w:r>
      <w:r>
        <w:t>Shares generate price gains/losses and distributions. Bond values respond to market yields and credit risk. FX spot, forwards and swaps manage currency needs. Futures and other derivatives can create exposure without owning the physical underlying.</w:t>
      </w:r>
    </w:p>
    <w:p>
      <w:pPr/>
      <w:r>
        <w:rPr>
          <w:b/>
          <w:color w:val="167B89"/>
        </w:rPr>
        <w:t xml:space="preserve">QuantEdge application:  </w:t>
      </w:r>
      <w:r>
        <w:t>Classify portfolio holdings by legal claim, price driver, distribution/coupon, credit sensitivity, currency and settlement method.</w:t>
      </w:r>
    </w:p>
    <w:p>
      <w:pPr/>
      <w:r>
        <w:rPr>
          <w:b/>
          <w:color w:val="167B89"/>
        </w:rPr>
        <w:t xml:space="preserve">Critical caution:  </w:t>
      </w:r>
      <w:r>
        <w:t>A bond is not necessarily a stable-price or fixed-return holding if sold before maturity.</w:t>
      </w:r>
    </w:p>
    <w:p>
      <w:pPr>
        <w:pStyle w:val="Heading2"/>
      </w:pPr>
      <w:r>
        <w:t>B01-S08  |  Slide 08  —  Cash/spot versus derivatives</w:t>
      </w:r>
    </w:p>
    <w:p>
      <w:pPr>
        <w:pStyle w:val="SmallMuted"/>
      </w:pPr>
      <w:r>
        <w:t>TOPIC  OWNERSHIP VERSUS EXPOSURE</w:t>
      </w:r>
    </w:p>
    <w:p>
      <w:pPr/>
      <w:r>
        <w:rPr>
          <w:b/>
          <w:color w:val="167B89"/>
        </w:rPr>
        <w:t xml:space="preserve">Source essence:  </w:t>
      </w:r>
      <w:r>
        <w:t>Cash/spot purchases involve paying for an asset or obtaining a claim. Derivatives create contractual payoffs or obligations with different cash timing.</w:t>
      </w:r>
    </w:p>
    <w:p>
      <w:pPr/>
      <w:r>
        <w:rPr>
          <w:b/>
          <w:color w:val="167B89"/>
        </w:rPr>
        <w:t xml:space="preserve">Concept / explanation:  </w:t>
      </w:r>
      <w:r>
        <w:t>A share purchase pays cash for ownership; a bond provides coupon and principal claims; physical commodities involve storage/logistics. Futures deliver price exposure and daily P&amp;L; forwards involve agreed future exchanges; option buyers pay a premium for a conditional payoff.</w:t>
      </w:r>
    </w:p>
    <w:p>
      <w:pPr/>
      <w:r>
        <w:rPr>
          <w:b/>
          <w:color w:val="167B89"/>
        </w:rPr>
        <w:t xml:space="preserve">QuantEdge application:  </w:t>
      </w:r>
      <w:r>
        <w:t>Model fully funded ETFs differently from margin-backed futures: funding, leverage, cash buffer and settlement affect wealth and liquidity risk.</w:t>
      </w:r>
    </w:p>
    <w:p>
      <w:pPr/>
      <w:r>
        <w:rPr>
          <w:b/>
          <w:color w:val="167B89"/>
        </w:rPr>
        <w:t xml:space="preserve">Critical caution:  </w:t>
      </w:r>
      <w:r>
        <w:t>A directionally similar bet (e.g., oil rises) can produce very different loss paths under spot holdings, futures or options.</w:t>
      </w:r>
    </w:p>
    <w:p>
      <w:pPr>
        <w:pStyle w:val="Heading2"/>
      </w:pPr>
      <w:r>
        <w:t>B01-S09  |  Slide 09  —  From intention to trade settlement</w:t>
      </w:r>
    </w:p>
    <w:p>
      <w:pPr>
        <w:pStyle w:val="SmallMuted"/>
      </w:pPr>
      <w:r>
        <w:t>TOPIC  EXECUTION LIFECYCLE</w:t>
      </w:r>
    </w:p>
    <w:p>
      <w:pPr/>
      <w:r>
        <w:rPr>
          <w:b/>
          <w:color w:val="167B89"/>
        </w:rPr>
        <w:t xml:space="preserve">Source essence:  </w:t>
      </w:r>
      <w:r>
        <w:t>Quote → Order → Execution → Clearing → Settlement. A backtest’s theoretical price is not necessarily a price at which the portfolio could trade.</w:t>
      </w:r>
    </w:p>
    <w:p>
      <w:pPr/>
      <w:r>
        <w:rPr>
          <w:b/>
          <w:color w:val="167B89"/>
        </w:rPr>
        <w:t xml:space="preserve">Concept / explanation:  </w:t>
      </w:r>
      <w:r>
        <w:t>Bid/ask and order-book depth define available liquidity. Market versus limit orders affect fills; execution matches price and quantity; clearing manages obligations, and settlement moves money/assets or marks futures to market.</w:t>
      </w:r>
    </w:p>
    <w:p>
      <w:pPr/>
      <w:r>
        <w:rPr>
          <w:b/>
          <w:color w:val="167B89"/>
        </w:rPr>
        <w:t xml:space="preserve">QuantEdge application:  </w:t>
      </w:r>
      <w:r>
        <w:t>Include bid–ask spread, fees, market impact and settlement mechanics when assessing returns and transaction feasibility.</w:t>
      </w:r>
    </w:p>
    <w:p>
      <w:pPr/>
      <w:r>
        <w:rPr>
          <w:b/>
          <w:color w:val="167B89"/>
        </w:rPr>
        <w:t xml:space="preserve">Critical caution:  </w:t>
      </w:r>
      <w:r>
        <w:t>Large orders can shift price; mid-price assumptions without execution treatment can overstate expected profits.</w:t>
      </w:r>
    </w:p>
    <w:p>
      <w:pPr>
        <w:pStyle w:val="Heading2"/>
      </w:pPr>
      <w:r>
        <w:t>B01-S10  |  Slide 10  —  Four participants, four objectives</w:t>
      </w:r>
    </w:p>
    <w:p>
      <w:pPr>
        <w:pStyle w:val="SmallMuted"/>
      </w:pPr>
      <w:r>
        <w:t>TOPIC  MOTIVES BEHIND MARKET POSITIONS</w:t>
      </w:r>
    </w:p>
    <w:p>
      <w:pPr/>
      <w:r>
        <w:rPr>
          <w:b/>
          <w:color w:val="167B89"/>
        </w:rPr>
        <w:t xml:space="preserve">Source essence:  </w:t>
      </w:r>
      <w:r>
        <w:t>Hedgers reduce an existing economic exposure; speculators deliberately take price risk; arbitrageurs pursue pricing discrepancies subject to real-world frictions; institutions allocate across assets to meet objectives/liabilities.</w:t>
      </w:r>
    </w:p>
    <w:p>
      <w:pPr/>
      <w:r>
        <w:rPr>
          <w:b/>
          <w:color w:val="167B89"/>
        </w:rPr>
        <w:t xml:space="preserve">Concept / explanation:  </w:t>
      </w:r>
      <w:r>
        <w:t>A given long/short position cannot be labeled a hedge or speculative bet from the direction alone. A long future might offset an existing short physical exposure. Market makers are liquidity providers and are not the same concept as economic hedgers.</w:t>
      </w:r>
    </w:p>
    <w:p>
      <w:pPr/>
      <w:r>
        <w:rPr>
          <w:b/>
          <w:color w:val="167B89"/>
        </w:rPr>
        <w:t xml:space="preserve">QuantEdge application:  </w:t>
      </w:r>
      <w:r>
        <w:t>When proposing hedge overlays, identify the original exposure being offset and measure total economic risk, not isolated derivative P&amp;L.</w:t>
      </w:r>
    </w:p>
    <w:p>
      <w:pPr/>
      <w:r>
        <w:rPr>
          <w:b/>
          <w:color w:val="167B89"/>
        </w:rPr>
        <w:t xml:space="preserve">Critical caution:  </w:t>
      </w:r>
      <w:r>
        <w:t>A derivative trading loss can coincide with successful hedging if the physical exposure gained.</w:t>
      </w:r>
    </w:p>
    <w:p>
      <w:pPr>
        <w:pStyle w:val="Heading2"/>
      </w:pPr>
      <w:r>
        <w:t>B01-S11  |  Slide 11  —  Challenge: airline fuel hedge</w:t>
      </w:r>
    </w:p>
    <w:p>
      <w:pPr>
        <w:pStyle w:val="SmallMuted"/>
      </w:pPr>
      <w:r>
        <w:t>TOPIC  WORKED HEDGE DECISION</w:t>
      </w:r>
    </w:p>
    <w:p>
      <w:pPr/>
      <w:r>
        <w:rPr>
          <w:b/>
          <w:color w:val="167B89"/>
        </w:rPr>
        <w:t xml:space="preserve">Source essence:  </w:t>
      </w:r>
      <w:r>
        <w:t>An airline needing to buy fuel in six months generally wants LONG energy-price exposure to offset higher future purchase costs.</w:t>
      </w:r>
    </w:p>
    <w:p>
      <w:pPr/>
      <w:r>
        <w:rPr>
          <w:b/>
          <w:color w:val="167B89"/>
        </w:rPr>
        <w:t xml:space="preserve">Concept / explanation:  </w:t>
      </w:r>
      <w:r>
        <w:t>If energy costs rise, the long hedge tends to gain as physical fuel becomes more expensive. If energy prices fall, futures may lose while physical fuel becomes cheaper. Crude oil futures and jet fuel prices are imperfectly aligned: basis risk remains.</w:t>
      </w:r>
    </w:p>
    <w:p>
      <w:pPr/>
      <w:r>
        <w:rPr>
          <w:b/>
          <w:color w:val="167B89"/>
        </w:rPr>
        <w:t xml:space="preserve">QuantEdge application:  </w:t>
      </w:r>
      <w:r>
        <w:t>Specify hedge objective, proxy instrument, maturity, size, basis mismatch and both sides of the hedged P&amp;L.</w:t>
      </w:r>
    </w:p>
    <w:p>
      <w:pPr/>
      <w:r>
        <w:rPr>
          <w:b/>
          <w:color w:val="167B89"/>
        </w:rPr>
        <w:t xml:space="preserve">Critical caution:  </w:t>
      </w:r>
      <w:r>
        <w:t>Do not evaluate a hedge solely by the derivative’s profit or loss.</w:t>
      </w:r>
    </w:p>
    <w:p>
      <w:pPr>
        <w:pStyle w:val="Heading2"/>
      </w:pPr>
      <w:r>
        <w:t>B01-S12  |  Slide 12  —  Module 2 introduction: instruments and returns</w:t>
      </w:r>
    </w:p>
    <w:p>
      <w:pPr>
        <w:pStyle w:val="SmallMuted"/>
      </w:pPr>
      <w:r>
        <w:t>TOPIC  TRANSITION SLIDE</w:t>
      </w:r>
    </w:p>
    <w:p>
      <w:pPr/>
      <w:r>
        <w:rPr>
          <w:b/>
          <w:color w:val="167B89"/>
        </w:rPr>
        <w:t xml:space="preserve">Source essence:  </w:t>
      </w:r>
      <w:r>
        <w:t>A price series is not the same as the value path of an investable portfolio.</w:t>
      </w:r>
    </w:p>
    <w:p>
      <w:pPr/>
      <w:r>
        <w:rPr>
          <w:b/>
          <w:color w:val="167B89"/>
        </w:rPr>
        <w:t xml:space="preserve">Concept / explanation:  </w:t>
      </w:r>
      <w:r>
        <w:t>Return methodology must account for dividends, cash collateral, term structure, futures rolling and the instrument actually owned.</w:t>
      </w:r>
    </w:p>
    <w:p>
      <w:pPr/>
      <w:r>
        <w:rPr>
          <w:b/>
          <w:color w:val="167B89"/>
        </w:rPr>
        <w:t xml:space="preserve">QuantEdge application:  </w:t>
      </w:r>
      <w:r>
        <w:t>Document a return convention and data source for each portfolio holding before any optimization, VaR or ES calculation.</w:t>
      </w:r>
    </w:p>
    <w:p>
      <w:pPr/>
      <w:r>
        <w:rPr>
          <w:b/>
          <w:color w:val="167B89"/>
        </w:rPr>
        <w:t xml:space="preserve">Critical caution:  </w:t>
      </w:r>
      <w:r>
        <w:t>This is a module divider, not a stand-alone mathematical model.</w:t>
      </w:r>
    </w:p>
    <w:p>
      <w:pPr>
        <w:pStyle w:val="Heading2"/>
      </w:pPr>
      <w:r>
        <w:t>B01-S13  |  Slide 13  —  The return must follow the instrument</w:t>
      </w:r>
    </w:p>
    <w:p>
      <w:pPr>
        <w:pStyle w:val="SmallMuted"/>
      </w:pPr>
      <w:r>
        <w:t>TOPIC  RETURN CONVENTION BY ASSET</w:t>
      </w:r>
    </w:p>
    <w:p>
      <w:pPr/>
      <w:r>
        <w:rPr>
          <w:b/>
          <w:color w:val="167B89"/>
        </w:rPr>
        <w:t xml:space="preserve">Source essence:  </w:t>
      </w:r>
      <w:r>
        <w:t>Equity/ETF: adjusted prices and distributions → total-return wealth. Bond: price plus coupon/accrual → total return, not merely yield. FX: translate values into the investor’s base currency. Futures: specific maturity price changes × contract multiplier plus collateral economics. Options: price changes net of premium and costs.</w:t>
      </w:r>
    </w:p>
    <w:p>
      <w:pPr/>
      <w:r>
        <w:rPr>
          <w:b/>
          <w:color w:val="167B89"/>
        </w:rPr>
        <w:t xml:space="preserve">Concept / explanation:  </w:t>
      </w:r>
      <w:r>
        <w:t>The economically relevant P&amp;L is instrument-specific. A published price index may omit distributions, accrued interest, financing or roll costs. International returns also reflect currency translation.</w:t>
      </w:r>
    </w:p>
    <w:p>
      <w:pPr/>
      <w:r>
        <w:rPr>
          <w:b/>
          <w:color w:val="167B89"/>
        </w:rPr>
        <w:t xml:space="preserve">QuantEdge application:  </w:t>
      </w:r>
      <w:r>
        <w:t>Write a data dictionary linking each selected ticker/contract to the precise return process, cash treatment, currency and corporate-action treatment.</w:t>
      </w:r>
    </w:p>
    <w:p>
      <w:pPr/>
      <w:r>
        <w:rPr>
          <w:b/>
          <w:color w:val="167B89"/>
        </w:rPr>
        <w:t xml:space="preserve">Critical caution:  </w:t>
      </w:r>
      <w:r>
        <w:t>Do not double-count dividends if the adjusted-price data already reflects their reinvestment; inspect the data provider’s convention.</w:t>
      </w:r>
    </w:p>
    <w:p>
      <w:pPr>
        <w:pStyle w:val="Heading2"/>
      </w:pPr>
      <w:r>
        <w:t>B01-S14  |  Slide 14  —  Why simple and log returns differ</w:t>
      </w:r>
    </w:p>
    <w:p>
      <w:pPr>
        <w:pStyle w:val="SmallMuted"/>
      </w:pPr>
      <w:r>
        <w:t>TOPIC  FOUNDATIONAL RETURN EQUATIONS</w:t>
      </w:r>
    </w:p>
    <w:p>
      <w:pPr/>
      <w:r>
        <w:rPr>
          <w:b/>
          <w:color w:val="167B89"/>
        </w:rPr>
        <w:t xml:space="preserve">Source essence:  </w:t>
      </w:r>
      <w:r>
        <w:t>Simple return Rₜ = (Pₜ − Pₜ₋₁)/Pₜ₋₁. Log return rₜ = ln(Pₜ/Pₜ₋₁). Simple returns compound as (1+R₁)(1+R₂)−1; log returns for one strictly positive series add across time.</w:t>
      </w:r>
    </w:p>
    <w:p>
      <w:pPr/>
      <w:r>
        <w:rPr>
          <w:b/>
          <w:color w:val="167B89"/>
        </w:rPr>
        <w:t xml:space="preserve">Concept / explanation:  </w:t>
      </w:r>
      <w:r>
        <w:t>Worked wealth example: 100 → 120 → 100 yields +20% then −16.667% and a 0% two-period total return. Adding simple returns (+3.333%) would be wrong. The corresponding log returns add to 0.</w:t>
      </w:r>
    </w:p>
    <w:p>
      <w:pPr/>
      <w:r>
        <w:rPr>
          <w:b/>
          <w:color w:val="167B89"/>
        </w:rPr>
        <w:t xml:space="preserve">QuantEdge application:  </w:t>
      </w:r>
      <w:r>
        <w:t>Use correct compounding for multi-day investment horizons and report wealth P&amp;L in economically interpretable simple returns.</w:t>
      </w:r>
    </w:p>
    <w:p>
      <w:pPr/>
      <w:r>
        <w:rPr>
          <w:b/>
          <w:color w:val="167B89"/>
        </w:rPr>
        <w:t xml:space="preserve">Critical caution:  </w:t>
      </w:r>
      <w:r>
        <w:t>Fixed-weight sums of individual asset log returns do not generally equal portfolio log returns. Log transform is invalid for prices at or below zero.</w:t>
      </w:r>
    </w:p>
    <w:p>
      <w:pPr>
        <w:pStyle w:val="Heading2"/>
      </w:pPr>
      <w:r>
        <w:t>B01-S15  |  Slide 15  —  Which return should be calculated?</w:t>
      </w:r>
    </w:p>
    <w:p>
      <w:pPr>
        <w:pStyle w:val="SmallMuted"/>
      </w:pPr>
      <w:r>
        <w:t>TOPIC  TOTAL-RETURN DEFINITION</w:t>
      </w:r>
    </w:p>
    <w:p>
      <w:pPr/>
      <w:r>
        <w:rPr>
          <w:b/>
          <w:color w:val="167B89"/>
        </w:rPr>
        <w:t xml:space="preserve">Source essence:  </w:t>
      </w:r>
      <w:r>
        <w:t>For a funded security held over a period, R = (P₁ − P₀ + D) / P₀, where P₀ is purchase price, P₁ is end price and D is distributions during the holding period.</w:t>
      </w:r>
    </w:p>
    <w:p>
      <w:pPr/>
      <w:r>
        <w:rPr>
          <w:b/>
          <w:color w:val="167B89"/>
        </w:rPr>
        <w:t xml:space="preserve">Concept / explanation:  </w:t>
      </w:r>
      <w:r>
        <w:t>Total equity/ETF return includes capital gain/loss plus dividends or distributions. Adjusted prices must be understood: corporate actions, splits, dividends and reinvestment assumptions require documentation. When R &gt; −1, r = ln(1+R).</w:t>
      </w:r>
    </w:p>
    <w:p>
      <w:pPr/>
      <w:r>
        <w:rPr>
          <w:b/>
          <w:color w:val="167B89"/>
        </w:rPr>
        <w:t xml:space="preserve">QuantEdge application:  </w:t>
      </w:r>
      <w:r>
        <w:t>Choose a total-return consistent ETF series for investment comparisons; record data-provider adjustment and treatment of paid/reinvested distributions.</w:t>
      </w:r>
    </w:p>
    <w:p>
      <w:pPr/>
      <w:r>
        <w:rPr>
          <w:b/>
          <w:color w:val="167B89"/>
        </w:rPr>
        <w:t xml:space="preserve">Critical caution:  </w:t>
      </w:r>
      <w:r>
        <w:t>Do not add D again to a fully dividend-adjusted return series unless its specific adjustment convention warrants it.</w:t>
      </w:r>
    </w:p>
    <w:p>
      <w:pPr>
        <w:pStyle w:val="Heading2"/>
      </w:pPr>
      <w:r>
        <w:t>B01-S16  |  Slide 16  —  Log returns are useful—not always better</w:t>
      </w:r>
    </w:p>
    <w:p>
      <w:pPr>
        <w:pStyle w:val="SmallMuted"/>
      </w:pPr>
      <w:r>
        <w:t>TOPIC  RETURN CHOICE FOR STATISTICS VERSUS INVESTOR REPORTING</w:t>
      </w:r>
    </w:p>
    <w:p>
      <w:pPr/>
      <w:r>
        <w:rPr>
          <w:b/>
          <w:color w:val="167B89"/>
        </w:rPr>
        <w:t xml:space="preserve">Source essence:  </w:t>
      </w:r>
      <w:r>
        <w:t>Log returns are time-additive for one positive-price asset and can help statistical modeling. Investor NAV, cash P&amp;L and same-period weighted portfolio accounting generally use simple returns.</w:t>
      </w:r>
    </w:p>
    <w:p>
      <w:pPr/>
      <w:r>
        <w:rPr>
          <w:b/>
          <w:color w:val="167B89"/>
        </w:rPr>
        <w:t xml:space="preserve">Concept / explanation:  </w:t>
      </w:r>
      <w:r>
        <w:t>For a portfolio of funded assets over one common period, the weighted average of constituent simple returns represents the return before trading/turnover effects; a weighted average of log returns does not equal the portfolio log return in general.</w:t>
      </w:r>
    </w:p>
    <w:p>
      <w:pPr/>
      <w:r>
        <w:rPr>
          <w:b/>
          <w:color w:val="167B89"/>
        </w:rPr>
        <w:t xml:space="preserve">QuantEdge application:  </w:t>
      </w:r>
      <w:r>
        <w:t>Keep a clearly named log-return series for certain statistical tests if needed, but construct wealth and cash losses from proper portfolio simple-return or position-level P&amp;L accounting.</w:t>
      </w:r>
    </w:p>
    <w:p>
      <w:pPr/>
      <w:r>
        <w:rPr>
          <w:b/>
          <w:color w:val="167B89"/>
        </w:rPr>
        <w:t xml:space="preserve">Critical caution:  </w:t>
      </w:r>
      <w:r>
        <w:t>Negative/zero futures price observations make the price-log transformation undefined; do not force the same return rule onto all instruments.</w:t>
      </w:r>
    </w:p>
    <w:p>
      <w:pPr>
        <w:pStyle w:val="Heading2"/>
      </w:pPr>
      <w:r>
        <w:t>B01-S17  |  Slide 17  —  Bond yields and prices move oppositely</w:t>
      </w:r>
    </w:p>
    <w:p>
      <w:pPr>
        <w:pStyle w:val="SmallMuted"/>
      </w:pPr>
      <w:r>
        <w:t>TOPIC  INTEREST-RATE SENSITIVITY</w:t>
      </w:r>
    </w:p>
    <w:p>
      <w:pPr/>
      <w:r>
        <w:rPr>
          <w:b/>
          <w:color w:val="167B89"/>
        </w:rPr>
        <w:t xml:space="preserve">Source essence:  </w:t>
      </w:r>
      <w:r>
        <w:t>A bond’s price generally falls when yield rises. Duration converts a yield change into an approximate price change; longer duration creates greater rate sensitivity.</w:t>
      </w:r>
    </w:p>
    <w:p>
      <w:pPr/>
      <w:r>
        <w:rPr>
          <w:b/>
          <w:color w:val="167B89"/>
        </w:rPr>
        <w:t xml:space="preserve">Concept / explanation:  </w:t>
      </w:r>
      <w:r>
        <w:t>Illustration: modified duration ≈ 6 implies roughly −6% bond price response to a +100 basis-point yield shift before convexity and carry. Credit spread changes introduce additional price risk beyond Treasury-rate shocks.</w:t>
      </w:r>
    </w:p>
    <w:p>
      <w:pPr/>
      <w:r>
        <w:rPr>
          <w:b/>
          <w:color w:val="167B89"/>
        </w:rPr>
        <w:t xml:space="preserve">QuantEdge application:  </w:t>
      </w:r>
      <w:r>
        <w:t>For bond ETFs in our portfolio, stress interest-rate shocks and distinguish total return from quoted yield. Test duration concentration even where nominal credit risk seems low.</w:t>
      </w:r>
    </w:p>
    <w:p>
      <w:pPr/>
      <w:r>
        <w:rPr>
          <w:b/>
          <w:color w:val="167B89"/>
        </w:rPr>
        <w:t xml:space="preserve">Critical caution:  </w:t>
      </w:r>
      <w:r>
        <w:t>This is a duration-based illustration, not a quote, promise or exact bond-return forecast.</w:t>
      </w:r>
    </w:p>
    <w:p>
      <w:pPr>
        <w:pStyle w:val="Heading2"/>
      </w:pPr>
      <w:r>
        <w:t>B01-S18  |  Slide 18  —  Why commodity spot may be the wrong input</w:t>
      </w:r>
    </w:p>
    <w:p>
      <w:pPr>
        <w:pStyle w:val="SmallMuted"/>
      </w:pPr>
      <w:r>
        <w:t>TOPIC  INSTRUMENT-ALIGNED COMMODITY DATA</w:t>
      </w:r>
    </w:p>
    <w:p>
      <w:pPr/>
      <w:r>
        <w:rPr>
          <w:b/>
          <w:color w:val="167B89"/>
        </w:rPr>
        <w:t xml:space="preserve">Source essence:  </w:t>
      </w:r>
      <w:r>
        <w:t>Physical commodity spot quotes specify a grade, quantity, date and delivery location. Physical trading has storage/transport constraints. An exchange future specifies a contract month, multiplier and settlement rules and is marked daily.</w:t>
      </w:r>
    </w:p>
    <w:p>
      <w:pPr/>
      <w:r>
        <w:rPr>
          <w:b/>
          <w:color w:val="167B89"/>
        </w:rPr>
        <w:t xml:space="preserve">Concept / explanation:  </w:t>
      </w:r>
      <w:r>
        <w:t>A practical futures investment needs a documented maturity selection, held contract path and roll treatment. Spot-index price changes may not match a scalable investable strategy. For ETF positions, use the ETF’s own total-return price/NAV rather than arbitrary underlying spot prices.</w:t>
      </w:r>
    </w:p>
    <w:p>
      <w:pPr/>
      <w:r>
        <w:rPr>
          <w:b/>
          <w:color w:val="167B89"/>
        </w:rPr>
        <w:t xml:space="preserve">QuantEdge application:  </w:t>
      </w:r>
      <w:r>
        <w:t>Before using crude/gold/commodity inputs, state whether QuantEdge actually owns an ETF, a rolling futures strategy or physical exposure. Backtest the same instrument.</w:t>
      </w:r>
    </w:p>
    <w:p>
      <w:pPr/>
      <w:r>
        <w:rPr>
          <w:b/>
          <w:color w:val="167B89"/>
        </w:rPr>
        <w:t xml:space="preserve">Critical caution:  </w:t>
      </w:r>
      <w:r>
        <w:t>The slide does not say futures are always superior. Valid data depends on the approved investable asset and actual intended trade.</w:t>
      </w:r>
    </w:p>
    <w:p>
      <w:pPr>
        <w:pStyle w:val="Heading2"/>
      </w:pPr>
      <w:r>
        <w:t>B01-S19  |  Slide 19  —  Today’s futures curve: zero means today</w:t>
      </w:r>
    </w:p>
    <w:p>
      <w:pPr>
        <w:pStyle w:val="SmallMuted"/>
      </w:pPr>
      <w:r>
        <w:t>TOPIC  TERM-STRUCTURE INTERPRETATION</w:t>
      </w:r>
    </w:p>
    <w:p>
      <w:pPr/>
      <w:r>
        <w:rPr>
          <w:b/>
          <w:color w:val="167B89"/>
        </w:rPr>
        <w:t xml:space="preserve">Source essence:  </w:t>
      </w:r>
      <w:r>
        <w:t>A futures curve is a cross-sectional snapshot taken today; x-axis shows time remaining until delivery. x=0 means the current spot reference, whereas x=6 represents today’s quotation for a contract expiring in six months.</w:t>
      </w:r>
    </w:p>
    <w:p>
      <w:pPr/>
      <w:r>
        <w:rPr>
          <w:b/>
          <w:color w:val="167B89"/>
        </w:rPr>
        <w:t xml:space="preserve">Concept / explanation:  </w:t>
      </w:r>
      <w:r>
        <w:t>An upward-sloping term structure is contango; a downward-sloping one is backwardation. Forward/futures quotes embed financing, storage, convenience yield and premia; they are not automatically unbiased forecasts of future spot.</w:t>
      </w:r>
    </w:p>
    <w:p>
      <w:pPr/>
      <w:r>
        <w:rPr>
          <w:b/>
          <w:color w:val="167B89"/>
        </w:rPr>
        <w:t xml:space="preserve">QuantEdge application:  </w:t>
      </w:r>
      <w:r>
        <w:t>Plot current futures maturity against quoted price and never describe this graph as the historical price trajectory of one contract.</w:t>
      </w:r>
    </w:p>
    <w:p>
      <w:pPr/>
      <w:r>
        <w:rPr>
          <w:b/>
          <w:color w:val="167B89"/>
        </w:rPr>
        <w:t xml:space="preserve">Critical caution:  </w:t>
      </w:r>
      <w:r>
        <w:t>“The six-month future is quoted at $X today” does not mean spot must be $X in six months.</w:t>
      </w:r>
    </w:p>
    <w:p>
      <w:r>
        <w:br w:type="page"/>
      </w:r>
    </w:p>
    <w:p>
      <w:pPr>
        <w:pStyle w:val="Heading2"/>
      </w:pPr>
      <w:r>
        <w:t>B01-S20  |  Slide 20  —  Rolling a futures contract is not moving along the curve</w:t>
      </w:r>
    </w:p>
    <w:p>
      <w:pPr>
        <w:pStyle w:val="SmallMuted"/>
      </w:pPr>
      <w:r>
        <w:t>TOPIC  FUTURES ROLLOVER ACCOUNTING</w:t>
      </w:r>
    </w:p>
    <w:p>
      <w:pPr/>
      <w:r>
        <w:rPr>
          <w:b/>
          <w:color w:val="167B89"/>
        </w:rPr>
        <w:t xml:space="preserve">Source essence:  </w:t>
      </w:r>
      <w:r>
        <w:t>Rolling means closing one expiry and opening a different expiry. The gap between their quoted prices is not itself an instantaneous cash P&amp;L or immediate “roll loss.” Actual P&amp;L comes from price changes in held contracts, collateral, convergence and costs.</w:t>
      </w:r>
    </w:p>
    <w:p>
      <w:pPr/>
      <w:r>
        <w:rPr>
          <w:b/>
          <w:color w:val="167B89"/>
        </w:rPr>
        <w:t xml:space="preserve">Concept / explanation:  </w:t>
      </w:r>
      <w:r>
        <w:t>Slide example: today, sell a near future at $82 and buy the next at $84. Do not immediately book a $2/bbl loss solely from the price difference. Separately, a contract initially bought for $82 that converges to $80 over its holding life would generate a $2/bbl loss. These are different calculations.</w:t>
      </w:r>
    </w:p>
    <w:p>
      <w:pPr/>
      <w:r>
        <w:rPr>
          <w:b/>
          <w:color w:val="167B89"/>
        </w:rPr>
        <w:t xml:space="preserve">QuantEdge application:  </w:t>
      </w:r>
      <w:r>
        <w:t>Design futures backtests with actual entry/exit dates, contract multipliers, variation margin, roll schedules, collateral yield and execution costs. Use appropriate investment P&amp;L rather than naïve percentage returns of a continuous futures-price series.</w:t>
      </w:r>
    </w:p>
    <w:p>
      <w:pPr/>
      <w:r>
        <w:rPr>
          <w:b/>
          <w:color w:val="167B89"/>
        </w:rPr>
        <w:t xml:space="preserve">Critical caution:  </w:t>
      </w:r>
      <w:r>
        <w:t>Avoid both errors: ignoring negative carry/convergence over time and incorrectly posting the curve spread as an immediate trade loss.</w:t>
      </w:r>
    </w:p>
    <w:p>
      <w:pPr>
        <w:pStyle w:val="Heading1"/>
      </w:pPr>
      <w:r>
        <w:t>Formula and concept reference | Slides 13–20</w:t>
      </w:r>
    </w:p>
    <w:p>
      <w:pPr>
        <w:pStyle w:val="Heading3"/>
      </w:pPr>
      <w:r>
        <w:t>Simple price return</w:t>
      </w:r>
    </w:p>
    <w:p>
      <w:r>
        <w:rPr>
          <w:b/>
          <w:color w:val="167B89"/>
        </w:rPr>
        <w:t>Rₜ = (Pₜ − Pₜ₋₁) / Pₜ₋₁</w:t>
      </w:r>
    </w:p>
    <w:p>
      <w:r>
        <w:t>Price-only return; for investor wealth, include any cash distributions.</w:t>
      </w:r>
    </w:p>
    <w:p>
      <w:pPr>
        <w:pStyle w:val="Heading3"/>
      </w:pPr>
      <w:r>
        <w:t>Single-period total return</w:t>
      </w:r>
    </w:p>
    <w:p>
      <w:r>
        <w:rPr>
          <w:b/>
          <w:color w:val="167B89"/>
        </w:rPr>
        <w:t>R = (P₁ − P₀ + D) / P₀</w:t>
      </w:r>
    </w:p>
    <w:p>
      <w:r>
        <w:t>Appropriate for a funded security when distributions are not already embedded in a return-adjusted price series.</w:t>
      </w:r>
    </w:p>
    <w:p>
      <w:pPr>
        <w:pStyle w:val="Heading3"/>
      </w:pPr>
      <w:r>
        <w:t>Log return</w:t>
      </w:r>
    </w:p>
    <w:p>
      <w:r>
        <w:rPr>
          <w:b/>
          <w:color w:val="167B89"/>
        </w:rPr>
        <w:t>rₜ = ln(Pₜ / Pₜ₋₁) = ln(1 + Rₜ)</w:t>
      </w:r>
    </w:p>
    <w:p>
      <w:r>
        <w:t>Additive over time for a single strictly positive price/wealth series; not across weighted assets.</w:t>
      </w:r>
    </w:p>
    <w:p>
      <w:pPr>
        <w:pStyle w:val="Heading3"/>
      </w:pPr>
      <w:r>
        <w:t>Multi-period simple return</w:t>
      </w:r>
    </w:p>
    <w:p>
      <w:r>
        <w:rPr>
          <w:b/>
          <w:color w:val="167B89"/>
        </w:rPr>
        <w:t>(1 + R₁)(1 + R₂)…(1 + Rₙ) − 1</w:t>
      </w:r>
    </w:p>
    <w:p>
      <w:r>
        <w:t>Compounding wealth rather than summing percentage simple returns.</w:t>
      </w:r>
    </w:p>
    <w:p>
      <w:pPr>
        <w:pStyle w:val="Heading3"/>
      </w:pPr>
      <w:r>
        <w:t>Approx. duration effect</w:t>
      </w:r>
    </w:p>
    <w:p>
      <w:r>
        <w:rPr>
          <w:b/>
          <w:color w:val="167B89"/>
        </w:rPr>
        <w:t>ΔP / P ≈ −D_mod × Δy</w:t>
      </w:r>
    </w:p>
    <w:p>
      <w:r>
        <w:t>About −6% for modified duration 6 and +0.01 yield, before convexity, carry and spread effects.</w:t>
      </w:r>
    </w:p>
    <w:p>
      <w:pPr>
        <w:pStyle w:val="Heading3"/>
      </w:pPr>
      <w:r>
        <w:t>Futures P&amp;L principle</w:t>
      </w:r>
    </w:p>
    <w:p>
      <w:r>
        <w:rPr>
          <w:b/>
          <w:color w:val="167B89"/>
        </w:rPr>
        <w:t>Signed contracts × contract multiplier × (exit quote − entry quote)</w:t>
      </w:r>
    </w:p>
    <w:p>
      <w:r>
        <w:t>Actual contract changes create P&amp;L; the price gap across maturities at a roll is not an instant loss.</w:t>
      </w:r>
    </w:p>
    <w:p>
      <w:pPr>
        <w:pStyle w:val="Heading1"/>
      </w:pPr>
      <w:r>
        <w:t>Decision rules to carry into QuantEdge</w:t>
      </w:r>
    </w:p>
    <w:p>
      <w:pPr>
        <w:pStyle w:val="SmallMuted"/>
      </w:pPr>
      <w:r>
        <w:t>These are proposed project operating rules derived from the lecture; they are not official competition instructions.</w:t>
      </w:r>
    </w:p>
    <w:p>
      <w:r>
        <w:rPr>
          <w:b/>
          <w:color w:val="167B89"/>
        </w:rPr>
        <w:t xml:space="preserve">[M1] Mandate controls  </w:t>
      </w:r>
      <w:r>
        <w:t>Write down investor horizon, asset eligibility, liquidity requirements, ability to tolerate loss and implementation constraints.</w:t>
      </w:r>
      <w:r>
        <w:rPr>
          <w:i/>
          <w:color w:val="526576"/>
        </w:rPr>
        <w:t xml:space="preserve">  (Slides 4–5)</w:t>
      </w:r>
    </w:p>
    <w:p>
      <w:r>
        <w:rPr>
          <w:b/>
          <w:color w:val="167B89"/>
        </w:rPr>
        <w:t xml:space="preserve">[D1] Instrument/data match  </w:t>
      </w:r>
      <w:r>
        <w:t>For every instrument, record quote type, currency, income adjustment, expiry, holding dates and settlement rules.</w:t>
      </w:r>
      <w:r>
        <w:rPr>
          <w:i/>
          <w:color w:val="526576"/>
        </w:rPr>
        <w:t xml:space="preserve">  (Slides 7–8, 13, 18)</w:t>
      </w:r>
    </w:p>
    <w:p>
      <w:r>
        <w:rPr>
          <w:b/>
          <w:color w:val="167B89"/>
        </w:rPr>
        <w:t xml:space="preserve">[D2] Total-return accuracy  </w:t>
      </w:r>
      <w:r>
        <w:t>Use total-return series where appropriate; verify dividend, coupon, split and FX handling.</w:t>
      </w:r>
      <w:r>
        <w:rPr>
          <w:i/>
          <w:color w:val="526576"/>
        </w:rPr>
        <w:t xml:space="preserve">  (Slides 13–16)</w:t>
      </w:r>
    </w:p>
    <w:p>
      <w:r>
        <w:rPr>
          <w:b/>
          <w:color w:val="167B89"/>
        </w:rPr>
        <w:t xml:space="preserve">[M2] Correct wealth accounting  </w:t>
      </w:r>
      <w:r>
        <w:t>Use NAV-level/position-level simple returns for portfolio wealth; use log returns only where mathematically and economically appropriate.</w:t>
      </w:r>
      <w:r>
        <w:rPr>
          <w:i/>
          <w:color w:val="526576"/>
        </w:rPr>
        <w:t xml:space="preserve">  (Slides 14–16)</w:t>
      </w:r>
    </w:p>
    <w:p>
      <w:r>
        <w:rPr>
          <w:b/>
          <w:color w:val="167B89"/>
        </w:rPr>
        <w:t xml:space="preserve">[X1] Execution realism  </w:t>
      </w:r>
      <w:r>
        <w:t>Model bid–ask spreads, slippage, market impact, fees and clearing/settlement effects.</w:t>
      </w:r>
      <w:r>
        <w:rPr>
          <w:i/>
          <w:color w:val="526576"/>
        </w:rPr>
        <w:t xml:space="preserve">  (Slides 3, 9)</w:t>
      </w:r>
    </w:p>
    <w:p>
      <w:r>
        <w:rPr>
          <w:b/>
          <w:color w:val="167B89"/>
        </w:rPr>
        <w:t xml:space="preserve">[H1] Hedge completeness  </w:t>
      </w:r>
      <w:r>
        <w:t>Evaluate hedges jointly with the physical/existing exposure and account for basis risk.</w:t>
      </w:r>
      <w:r>
        <w:rPr>
          <w:i/>
          <w:color w:val="526576"/>
        </w:rPr>
        <w:t xml:space="preserve">  (Slides 10–11)</w:t>
      </w:r>
    </w:p>
    <w:p>
      <w:r>
        <w:rPr>
          <w:b/>
          <w:color w:val="167B89"/>
        </w:rPr>
        <w:t xml:space="preserve">[B1] Bond risk  </w:t>
      </w:r>
      <w:r>
        <w:t>Do not equate fixed coupon or yield with stable market value; apply duration and spread stress.</w:t>
      </w:r>
      <w:r>
        <w:rPr>
          <w:i/>
          <w:color w:val="526576"/>
        </w:rPr>
        <w:t xml:space="preserve">  (Slides 7, 13, 17)</w:t>
      </w:r>
    </w:p>
    <w:p>
      <w:r>
        <w:rPr>
          <w:b/>
          <w:color w:val="167B89"/>
        </w:rPr>
        <w:t xml:space="preserve">[F1] Futures maturity  </w:t>
      </w:r>
      <w:r>
        <w:t>Distinguish dated-curve quotations from one-contract time history.</w:t>
      </w:r>
      <w:r>
        <w:rPr>
          <w:i/>
          <w:color w:val="526576"/>
        </w:rPr>
        <w:t xml:space="preserve">  (Slides 18–19)</w:t>
      </w:r>
    </w:p>
    <w:p>
      <w:r>
        <w:rPr>
          <w:b/>
          <w:color w:val="167B89"/>
        </w:rPr>
        <w:t xml:space="preserve">[F2] Futures roll P&amp;L  </w:t>
      </w:r>
      <w:r>
        <w:t>Trade the roll legs and track actual mark-to-market; do not book curve gap as instantaneous loss.</w:t>
      </w:r>
      <w:r>
        <w:rPr>
          <w:i/>
          <w:color w:val="526576"/>
        </w:rPr>
        <w:t xml:space="preserve">  (Slides 20)</w:t>
      </w:r>
    </w:p>
    <w:p>
      <w:r>
        <w:rPr>
          <w:b/>
          <w:color w:val="167B89"/>
        </w:rPr>
        <w:t xml:space="preserve">[G1] Decision traceability  </w:t>
      </w:r>
      <w:r>
        <w:t>Translate each output into accept, reject, size, hedge, rebalance or modify and document its rationale.</w:t>
      </w:r>
      <w:r>
        <w:rPr>
          <w:i/>
          <w:color w:val="526576"/>
        </w:rPr>
        <w:t xml:space="preserve">  (Slides 1–5)</w:t>
      </w:r>
    </w:p>
    <w:p>
      <w:pPr>
        <w:pStyle w:val="Heading1"/>
      </w:pPr>
      <w:r>
        <w:t>Questions to verify before locking the project</w:t>
      </w:r>
    </w:p>
    <w:p>
      <w:pPr>
        <w:pStyle w:val="ListBullet"/>
      </w:pPr>
      <w:r>
        <w:t>What official/latest competition brief confirms USD 10m, three years, the permitted instruments, required methods and judging weights? (The masterclass describes a draft concept.)</w:t>
      </w:r>
    </w:p>
    <w:p>
      <w:pPr>
        <w:pStyle w:val="ListBullet"/>
      </w:pPr>
      <w:r>
        <w:t>Will our selected commodity exposure be an ETF, a physical claim, or specified futures contracts? Each requires different return and cash accounting.</w:t>
      </w:r>
    </w:p>
    <w:p>
      <w:pPr>
        <w:pStyle w:val="ListBullet"/>
      </w:pPr>
      <w:r>
        <w:t>Are ETF histories dividend-adjusted, split-adjusted and expressed in the correct portfolio base currency?</w:t>
      </w:r>
    </w:p>
    <w:p>
      <w:pPr>
        <w:pStyle w:val="ListBullet"/>
      </w:pPr>
      <w:r>
        <w:t>How will bond holdings be stress-tested for parallel yield, duration and credit-spread effects?</w:t>
      </w:r>
    </w:p>
    <w:p>
      <w:pPr>
        <w:pStyle w:val="ListBullet"/>
      </w:pPr>
      <w:r>
        <w:t>What are the client’s explicit loss, liquidity and turnover limits, and how do they override pure return or Sharpe maximization?</w:t>
      </w:r>
    </w:p>
    <w:p>
      <w:pPr>
        <w:pStyle w:val="ListBullet"/>
      </w:pPr>
      <w:r>
        <w:t>If futures are permitted, who will document contract sizes, expiry/roll rules, collateral and margin liquidity?</w:t>
      </w:r>
    </w:p>
    <w:p>
      <w:pPr>
        <w:pStyle w:val="ListBullet"/>
      </w:pPr>
      <w:r>
        <w:t>Are all backtest prices executable after spread, transaction costs and realistic fill assumptions?</w:t>
      </w:r>
    </w:p>
    <w:p>
      <w:pPr>
        <w:pStyle w:val="Heading1"/>
      </w:pPr>
      <w:r>
        <w:t>Knowledge-bank handoff for Batch 02</w:t>
      </w:r>
    </w:p>
    <w:p>
      <w:r>
        <w:rPr>
          <w:b/>
        </w:rPr>
        <w:t xml:space="preserve">Next scope: Slides 21–40. </w:t>
      </w:r>
      <w:r>
        <w:t>Continue with futures-curve interpretation, the roll challenge, documented futures backtests, derivative families, futures contracts and margins, short-selling, closing/rolling positions, options, commodity hedges, currency and interest-rate derivatives.</w:t>
      </w:r>
    </w:p>
    <w:p>
      <w:r>
        <w:rPr>
          <w:b/>
        </w:rPr>
        <w:t xml:space="preserve">Continuity rule: </w:t>
      </w:r>
      <w:r>
        <w:t>Keep B01-S01 through B01-S20 stable; append later batches under B02, B03, etc. Revise cross-batch conclusions only when new slide evidence warrants them, and record any source-versus-official-rules discrepancy explicitly.</w:t>
      </w:r>
    </w:p>
    <w:p>
      <w:pPr>
        <w:pStyle w:val="SmallMuted"/>
      </w:pPr>
      <w:r>
        <w:t>Provenance: EDGEFORGE_Polished_Finance_First_Masterclass_2026.pptx; slides 1–20 of 99. Presenter notes are incorporated where they explain details not present in the visible slide. Figures and example values in these slides are educational illustrations unless explicitly verified otherwise.</w:t>
      </w:r>
    </w:p>
    <w:sectPr w:rsidR="00FC693F" w:rsidRPr="0006063C" w:rsidSect="00034616">
      <w:headerReference w:type="default" r:id="rId9"/>
      <w:footerReference w:type="default" r:id="rId10"/>
      <w:pgSz w:w="11909" w:h="16834"/>
      <w:pgMar w:top="1181" w:right="1210" w:bottom="1080"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76"/>
        <w:sz w:val="16"/>
      </w:rPr>
      <w:t xml:space="preserve">EDGEFORGE MASTERCLASS • BATCH 01 • SLIDES 1–20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Bdr>
        <w:bottom w:val="single" w:sz="8" w:color="D5E3EA"/>
      </w:pBdr>
    </w:pPr>
    <w:r>
      <w:t>QUANTEDGE 1.0  /  KNOWLEDGE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8" w:lineRule="auto"/>
    </w:pPr>
    <w:rPr>
      <w:rFonts w:ascii="Aptos" w:hAnsi="Aptos"/>
      <w:color w:val="1528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Theme="majorHAnsi" w:eastAsiaTheme="majorEastAsia" w:hAnsiTheme="majorHAnsi" w:cstheme="majorBidi" w:ascii="Aptos Display" w:hAnsi="Aptos Display"/>
      <w:b/>
      <w:bCs/>
      <w:color w:val="15283D"/>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15283D"/>
      <w:sz w:val="22"/>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167B8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20"/>
      <w:contextualSpacing/>
    </w:pPr>
    <w:rPr>
      <w:rFonts w:asciiTheme="majorHAnsi" w:eastAsiaTheme="majorEastAsia" w:hAnsiTheme="majorHAnsi" w:cstheme="majorBidi" w:ascii="Aptos Display" w:hAnsi="Aptos Display"/>
      <w:b/>
      <w:color w:val="1528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100"/>
    </w:pPr>
    <w:rPr>
      <w:rFonts w:ascii="Aptos" w:hAnsi="Aptos"/>
      <w:color w:val="5265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