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Muted"/>
        <w:keepNext w:val="0"/>
      </w:pPr>
      <w:r>
        <w:t>COMPETITION RESEARCH / SOURCE-ANCHORED ANALYSIS</w:t>
      </w:r>
    </w:p>
    <w:p>
      <w:pPr>
        <w:pStyle w:val="Title"/>
      </w:pPr>
      <w:r>
        <w:t>QuantEdge Knowledge Analysis</w:t>
      </w:r>
    </w:p>
    <w:p>
      <w:r>
        <w:rPr>
          <w:b/>
        </w:rPr>
        <w:t>Batch 02  |  Slides 21–40 of 99</w:t>
      </w:r>
    </w:p>
    <w:p>
      <w:r>
        <w:t>EDGEFORGE 2026 — From Financial Markets to Quantitative Investment Decisions</w:t>
      </w:r>
    </w:p>
    <w:p>
      <w:pPr>
        <w:pStyle w:val="SmallMuted"/>
        <w:keepNext w:val="0"/>
      </w:pPr>
      <w:r>
        <w:t>Prepared 27 October 2026  •  Source: uploaded PowerPoint, including presenter notes  •  No external verification applied</w:t>
      </w:r>
    </w:p>
    <w:p>
      <w:r>
        <w:rPr>
          <w:b/>
        </w:rPr>
        <w:t>Purpose.</w:t>
      </w:r>
      <w:r>
        <w:t xml:space="preserve"> Continue Batch 01 with a faithful interpretation of slides 21–40, preserving actual examples and speaker caveats while separating them from our QuantEdge implementation ideas.</w:t>
      </w:r>
    </w:p>
    <w:p>
      <w:pPr>
        <w:pStyle w:val="Heading1"/>
      </w:pPr>
      <w:r>
        <w:t>Executive findings</w:t>
      </w:r>
    </w:p>
    <w:p>
      <w:pPr>
        <w:ind w:left="144"/>
      </w:pPr>
      <w:r>
        <w:rPr>
          <w:b/>
        </w:rPr>
        <w:t>01</w:t>
      </w:r>
      <w:r>
        <w:t xml:space="preserve">  </w:t>
      </w:r>
      <w:r>
        <w:rPr>
          <w:b/>
        </w:rPr>
        <w:t>Futures-market data must represent an executable strategy (slides 21–23).</w:t>
      </w:r>
      <w:r>
        <w:t xml:space="preserve"> The futures curve is today's cross-section of expiries, not the time history of a contract. Buying a new expiry at a higher quote than the expiring contract does not itself generate an instantaneous loss. Futures backtests need actual held contracts, dated rolls, contract multipliers, variation margin, collateral and costs.</w:t>
      </w:r>
    </w:p>
    <w:p>
      <w:pPr>
        <w:ind w:left="144"/>
      </w:pPr>
      <w:r>
        <w:rPr>
          <w:b/>
        </w:rPr>
        <w:t>02</w:t>
      </w:r>
      <w:r>
        <w:t xml:space="preserve">  </w:t>
      </w:r>
      <w:r>
        <w:rPr>
          <w:b/>
        </w:rPr>
        <w:t>Derivatives are four different types of financial contracts (slides 24–26, 36).</w:t>
      </w:r>
      <w:r>
        <w:t xml:space="preserve"> Forwards, futures, options and swaps have distinct ownership rights, payoff shapes, daily cash flows, collateral and counterparty risks; one generic “derivative return” is not enough.</w:t>
      </w:r>
    </w:p>
    <w:p>
      <w:pPr>
        <w:ind w:left="144"/>
      </w:pPr>
      <w:r>
        <w:rPr>
          <w:b/>
        </w:rPr>
        <w:t>03</w:t>
      </w:r>
      <w:r>
        <w:t xml:space="preserve">  </w:t>
      </w:r>
      <w:r>
        <w:rPr>
          <w:b/>
        </w:rPr>
        <w:t>Signed notional and contract multipliers determine futures profit/loss (slides 26–28).</w:t>
      </w:r>
      <w:r>
        <w:t xml:space="preserve"> For a simple held position, </w:t>
      </w:r>
      <w:r>
        <w:rPr>
          <w:rFonts w:ascii="Consolas" w:hAnsi="Consolas"/>
          <w:color w:val="135476"/>
          <w:sz w:val="17"/>
        </w:rPr>
        <w:t>P&amp;L = N × M × (F_close − F_entry)</w:t>
      </w:r>
      <w:r>
        <w:t xml:space="preserve">, where </w:t>
      </w:r>
      <w:r>
        <w:rPr>
          <w:rFonts w:ascii="Consolas" w:hAnsi="Consolas"/>
          <w:color w:val="135476"/>
          <w:sz w:val="17"/>
        </w:rPr>
        <w:t>N</w:t>
      </w:r>
      <w:r>
        <w:t xml:space="preserve"> is signed (positive long, negative short). Initial margin is neither the purchase price nor the loss limit.</w:t>
      </w:r>
    </w:p>
    <w:p>
      <w:pPr>
        <w:ind w:left="144"/>
      </w:pPr>
      <w:r>
        <w:rPr>
          <w:b/>
        </w:rPr>
        <w:t>04</w:t>
      </w:r>
      <w:r>
        <w:t xml:space="preserve">  </w:t>
      </w:r>
      <w:r>
        <w:rPr>
          <w:b/>
        </w:rPr>
        <w:t>Margin liquidity is a separate survival constraint (slides 29–32).</w:t>
      </w:r>
      <w:r>
        <w:t xml:space="preserve"> In the lecture example, an account posted $12,000 initial margin, fell below $10,000 maintenance to $9,500 and required $2,500 cash top-up. That deposit is financing, not a reversal of trading loss. Even a long-run thesis may fail if the investor cannot meet variation-margin calls.</w:t>
      </w:r>
    </w:p>
    <w:p>
      <w:pPr>
        <w:ind w:left="144"/>
      </w:pPr>
      <w:r>
        <w:rPr>
          <w:b/>
        </w:rPr>
        <w:t>05</w:t>
      </w:r>
      <w:r>
        <w:t xml:space="preserve">  </w:t>
      </w:r>
      <w:r>
        <w:rPr>
          <w:b/>
        </w:rPr>
        <w:t>Hedges must be judged together with the exposure being hedged (slides 33–34, 38–40).</w:t>
      </w:r>
      <w:r>
        <w:t xml:space="preserve"> A futures or forward loss may be offset by favorable physical-asset, fuel-cost, receivable or financing changes. Basis, timing, volume, currency and credit mismatches leave residual risk.</w:t>
      </w:r>
    </w:p>
    <w:p>
      <w:pPr>
        <w:ind w:left="144"/>
      </w:pPr>
      <w:r>
        <w:rPr>
          <w:b/>
        </w:rPr>
        <w:t>06</w:t>
      </w:r>
      <w:r>
        <w:t xml:space="preserve">  </w:t>
      </w:r>
      <w:r>
        <w:rPr>
          <w:b/>
        </w:rPr>
        <w:t>The exit and contract checklist are essential for feasibility (slides 35–37).</w:t>
      </w:r>
      <w:r>
        <w:t xml:space="preserve"> A long future is closed by selling the </w:t>
      </w:r>
      <w:r>
        <w:rPr>
          <w:i/>
        </w:rPr>
        <w:t>identical expiry</w:t>
      </w:r>
      <w:r>
        <w:t xml:space="preserve"> in the same netted account; selling another expiry is a spread or roll. Before trading, verify economic exposure, order/tick/liquidity, margin and exit/delivery mechanics.</w:t>
      </w:r>
    </w:p>
    <w:p>
      <w:pPr>
        <w:ind w:left="144"/>
      </w:pPr>
      <w:r>
        <w:rPr>
          <w:b/>
        </w:rPr>
        <w:t>07</w:t>
      </w:r>
      <w:r>
        <w:t xml:space="preserve">  </w:t>
      </w:r>
      <w:r>
        <w:rPr>
          <w:b/>
        </w:rPr>
        <w:t>Examples are not final competition permissions or live exchange rules.</w:t>
      </w:r>
      <w:r>
        <w:t xml:space="preserve"> Lecture examples of gold/oil contract sizes, margins, option strikes, and FX access are illustrative. Any use of derivatives must be checked against the approved investment universe and current exchange/broker requirements.</w:t>
      </w:r>
    </w:p>
    <w:p>
      <w:pPr>
        <w:pStyle w:val="Heading1"/>
      </w:pPr>
      <w:r>
        <w:t>Competition-critical implications</w:t>
      </w:r>
    </w:p>
    <w:p>
      <w:pPr>
        <w:pStyle w:val="ListBullet"/>
        <w:spacing w:after="60" w:line="259" w:lineRule="auto"/>
      </w:pPr>
      <w:r>
        <w:rPr>
          <w:b/>
        </w:rPr>
        <w:t>Conservative mandate:</w:t>
      </w:r>
      <w:r>
        <w:t xml:space="preserve"> The masterclass's client is a conservative institutional investor with a USD 10 million mandate and a three-year horizon (slide 4, Batch 01). Derivative overlays may create funding stress and forced liquidation even if their forecast return or hedging rationale looks favorable. That is a </w:t>
      </w:r>
      <w:r>
        <w:rPr>
          <w:i/>
        </w:rPr>
        <w:t>project interpretation</w:t>
      </w:r>
      <w:r>
        <w:t>, not a ban imposed by this batch.</w:t>
      </w:r>
    </w:p>
    <w:p>
      <w:pPr>
        <w:pStyle w:val="ListBullet"/>
        <w:spacing w:after="60" w:line="259" w:lineRule="auto"/>
      </w:pPr>
      <w:r>
        <w:rPr>
          <w:b/>
        </w:rPr>
        <w:t>If the portfolio is composed only of funded ETFs:</w:t>
      </w:r>
      <w:r>
        <w:t xml:space="preserve"> Do not pretend ETF positions have the futures margin, rollover or delivery profile described on slides 21–40. Use the correct ETF total-return/NAV path. The derivatives material still helps assess underlying exposures, optional overlays and risk disclosures.</w:t>
      </w:r>
    </w:p>
    <w:p>
      <w:pPr>
        <w:pStyle w:val="ListBullet"/>
        <w:spacing w:after="60" w:line="259" w:lineRule="auto"/>
      </w:pPr>
      <w:r>
        <w:rPr>
          <w:b/>
        </w:rPr>
        <w:t>If derivatives are approved and selected:</w:t>
      </w:r>
      <w:r>
        <w:t xml:space="preserve"> Keep separate ledgers for (a) actual positions and signed notionals, (b) daily settlement/P&amp;L, (c) collateral cash and variation margin, (d) financing and transaction costs, and (e) investor NAV. A suitable allocation must survive liquidity stress.</w:t>
      </w:r>
    </w:p>
    <w:p>
      <w:pPr>
        <w:pStyle w:val="ListBullet"/>
        <w:spacing w:after="60" w:line="259" w:lineRule="auto"/>
      </w:pPr>
      <w:r>
        <w:rPr>
          <w:b/>
        </w:rPr>
        <w:t>Scope warning:</w:t>
      </w:r>
      <w:r>
        <w:t xml:space="preserve"> These 20 slides teach market mechanics. They do </w:t>
      </w:r>
      <w:r>
        <w:rPr>
          <w:b/>
        </w:rPr>
        <w:t>not</w:t>
      </w:r>
      <w:r>
        <w:t xml:space="preserve"> provide an official approved instrument list, numerical risk tolerance, target return, evaluation rubric, or mandatory use of futures/options/swaps. Verify such matters from organizer documents.</w:t>
      </w:r>
    </w:p>
    <w:p>
      <w:pPr>
        <w:pStyle w:val="Heading1"/>
      </w:pPr>
      <w:r>
        <w:t>Slides, one by one</w:t>
      </w:r>
    </w:p>
    <w:p>
      <w:pPr>
        <w:pStyle w:val="SmallMuted"/>
        <w:keepNext w:val="0"/>
      </w:pPr>
      <w:r>
        <w:t>Slide order is preserved; B02-S21–B02-S40 are stable citation identifiers. “QuantEdge application” is a derived recommendation, not a rule stated by the organizer.</w:t>
      </w:r>
    </w:p>
    <w:p>
      <w:pPr>
        <w:pStyle w:val="Heading2"/>
      </w:pPr>
      <w:r>
        <w:t>B02-S21  |  Slide 21  —  Two different axes — snapshot vs trading history</w:t>
      </w:r>
    </w:p>
    <w:p>
      <w:pPr>
        <w:pStyle w:val="SmallMuted"/>
        <w:keepNext w:val="0"/>
      </w:pPr>
      <w:r>
        <w:t>TOPIC FUTURES TERM-STRUCTURE VISUALIZATION AND CONTRACT-PRICE HISTORY.</w:t>
      </w:r>
    </w:p>
    <w:p>
      <w:pPr>
        <w:keepLines/>
      </w:pPr>
      <w:r>
        <w:rPr>
          <w:b/>
        </w:rPr>
        <w:t>Source essence:</w:t>
      </w:r>
      <w:r>
        <w:t xml:space="preserve"> A </w:t>
      </w:r>
      <w:r>
        <w:rPr>
          <w:i/>
        </w:rPr>
        <w:t>term-structure snapshot</w:t>
      </w:r>
      <w:r>
        <w:t xml:space="preserve"> at one valuation date uses time </w:t>
      </w:r>
      <w:r>
        <w:rPr>
          <w:b/>
        </w:rPr>
        <w:t>until expiry</w:t>
      </w:r>
      <w:r>
        <w:t xml:space="preserve"> on the horizontal axis; month 0 refers to the current spot price. A </w:t>
      </w:r>
      <w:r>
        <w:rPr>
          <w:i/>
        </w:rPr>
        <w:t>price path</w:t>
      </w:r>
      <w:r>
        <w:t xml:space="preserve"> of one named futures contract uses </w:t>
      </w:r>
      <w:r>
        <w:rPr>
          <w:b/>
        </w:rPr>
        <w:t>calendar time elapsed</w:t>
      </w:r>
      <w:r>
        <w:t>; day 0 is the entry-date price.</w:t>
      </w:r>
    </w:p>
    <w:p>
      <w:pPr>
        <w:keepLines/>
      </w:pPr>
      <w:r>
        <w:rPr>
          <w:b/>
        </w:rPr>
        <w:t>Concept / explanation:</w:t>
      </w:r>
      <w:r>
        <w:t xml:space="preserve"> Today's December-crude quotation of $84 describes a price agreed or quoted today for December settlement, not a guarantee of December spot. As calendar time passes, the December contract price changes; near expiry it typically converges toward its appropriate reference spot. The whole maturity curve can shift, twist or invert.</w:t>
      </w:r>
    </w:p>
    <w:p>
      <w:pPr>
        <w:keepLines/>
      </w:pPr>
      <w:r>
        <w:rPr>
          <w:b/>
        </w:rPr>
        <w:t>QuantEdge application:</w:t>
      </w:r>
      <w:r>
        <w:t xml:space="preserve"> Label charts explicitly as either </w:t>
      </w:r>
      <w:r>
        <w:rPr>
          <w:rFonts w:ascii="Consolas" w:hAnsi="Consolas"/>
          <w:color w:val="135476"/>
          <w:sz w:val="17"/>
        </w:rPr>
        <w:t>futures curve at time t</w:t>
      </w:r>
      <w:r>
        <w:t xml:space="preserve"> or </w:t>
      </w:r>
      <w:r>
        <w:rPr>
          <w:rFonts w:ascii="Consolas" w:hAnsi="Consolas"/>
          <w:color w:val="135476"/>
          <w:sz w:val="17"/>
        </w:rPr>
        <w:t>history of contract X</w:t>
      </w:r>
      <w:r>
        <w:t>; store expiry date and daily observation date separately in futures datasets.</w:t>
      </w:r>
    </w:p>
    <w:p>
      <w:pPr>
        <w:keepLines/>
      </w:pPr>
      <w:r>
        <w:rPr>
          <w:b/>
        </w:rPr>
        <w:t>Critical caution:</w:t>
      </w:r>
      <w:r>
        <w:t xml:space="preserve"> Do not interpret one point at maturity +3 months on today's curve as the price observed three months later. </w:t>
      </w:r>
      <w:r>
        <w:rPr>
          <w:b/>
        </w:rPr>
        <w:t>Connection:</w:t>
      </w:r>
      <w:r>
        <w:t xml:space="preserve"> slide 20 already distinguished roll transactions from movements along a price curve.</w:t>
      </w:r>
    </w:p>
    <w:p>
      <w:pPr>
        <w:pStyle w:val="Heading2"/>
      </w:pPr>
      <w:r>
        <w:t>B02-S22  |  Slide 22  —  Does rolling a future instantly cost $2?</w:t>
      </w:r>
    </w:p>
    <w:p>
      <w:pPr>
        <w:pStyle w:val="SmallMuted"/>
        <w:keepNext w:val="0"/>
      </w:pPr>
      <w:r>
        <w:t>TOPIC ROLLOVER-VERSUS-CASH-LOSS CHALLENGE.</w:t>
      </w:r>
    </w:p>
    <w:p>
      <w:pPr>
        <w:keepLines/>
      </w:pPr>
      <w:r>
        <w:rPr>
          <w:b/>
        </w:rPr>
        <w:t>Source essence:</w:t>
      </w:r>
      <w:r>
        <w:t xml:space="preserve"> You sell a near-dated future at $82 and initiate a farther-dated contract at $84. The $2 difference is </w:t>
      </w:r>
      <w:r>
        <w:rPr>
          <w:b/>
        </w:rPr>
        <w:t>not</w:t>
      </w:r>
      <w:r>
        <w:t xml:space="preserve"> a $2-per-unit cash loss recorded immediately just because the expiry changes.</w:t>
      </w:r>
    </w:p>
    <w:p>
      <w:pPr>
        <w:keepLines/>
      </w:pPr>
      <w:r>
        <w:rPr>
          <w:b/>
        </w:rPr>
        <w:t>Concept / explanation:</w:t>
      </w:r>
      <w:r>
        <w:t xml:space="preserve"> The old position is offset and the new futures position begins near zero economic value, rather than being purchased by paying its quoted notional. P&amp;L on the old holding is based on the old contract's entry and exit quotes; P&amp;L on the new holding arises as </w:t>
      </w:r>
      <w:r>
        <w:rPr>
          <w:i/>
        </w:rPr>
        <w:t>its own</w:t>
      </w:r>
      <w:r>
        <w:t xml:space="preserve"> price changes. Trading spreads, convergence, margin and funding can still create meaningful costs or losses over time.</w:t>
      </w:r>
    </w:p>
    <w:p>
      <w:pPr>
        <w:keepLines/>
      </w:pPr>
      <w:r>
        <w:rPr>
          <w:b/>
        </w:rPr>
        <w:t>QuantEdge application:</w:t>
      </w:r>
      <w:r>
        <w:t xml:space="preserve"> A futures-roll engine should book the old contract's close-out P&amp;L, establish the new contract at its actual entry quote and track subsequent settlement; record brokerage/spread separately.</w:t>
      </w:r>
    </w:p>
    <w:p>
      <w:pPr>
        <w:keepLines/>
      </w:pPr>
      <w:r>
        <w:rPr>
          <w:b/>
        </w:rPr>
        <w:t>Critical caution:</w:t>
      </w:r>
      <w:r>
        <w:t xml:space="preserve"> Avoid </w:t>
      </w:r>
      <w:r>
        <w:rPr>
          <w:b/>
        </w:rPr>
        <w:t>both</w:t>
      </w:r>
      <w:r>
        <w:t xml:space="preserve"> mistakes: claiming an instant $2 roll loss, and assuming contango or subsequent downward convergence cannot hurt a long rolling strategy.</w:t>
      </w:r>
    </w:p>
    <w:p>
      <w:pPr>
        <w:pStyle w:val="Heading2"/>
      </w:pPr>
      <w:r>
        <w:t>B02-S23  |  Slide 23  —  Cash price or futures price?</w:t>
      </w:r>
    </w:p>
    <w:p>
      <w:pPr>
        <w:pStyle w:val="SmallMuted"/>
        <w:keepNext w:val="0"/>
      </w:pPr>
      <w:r>
        <w:t>TOPIC BACKTEST DATA MUST MATCH THE CLAIMED INVESTMENT.</w:t>
      </w:r>
    </w:p>
    <w:p>
      <w:pPr>
        <w:keepLines/>
      </w:pPr>
      <w:r>
        <w:rPr>
          <w:b/>
        </w:rPr>
        <w:t>Source essence:</w:t>
      </w:r>
      <w:r>
        <w:t xml:space="preserve"> To backtest a four-year WTI futures allocation of 5% notional, choose a </w:t>
      </w:r>
      <w:r>
        <w:rPr>
          <w:b/>
        </w:rPr>
        <w:t>documented rolling futures strategy</w:t>
      </w:r>
      <w:r>
        <w:t>, not untradeable WTI spot prices or an arbitrary front-month ticker.</w:t>
      </w:r>
    </w:p>
    <w:p>
      <w:pPr>
        <w:keepLines/>
      </w:pPr>
      <w:r>
        <w:rPr>
          <w:b/>
        </w:rPr>
        <w:t>Concept / explanation:</w:t>
      </w:r>
      <w:r>
        <w:t xml:space="preserve"> Use actual selected expiry quotes and holding dates, explicit roll dates, signed contract counts, multiplier, cash collateral, daily realized or variation P&amp;L, and transaction costs. The speaker notes warn that back-adjusted continuous futures price levels can lack economic meaning; naive percentage changes in those levels may not describe actual strategy returns.</w:t>
      </w:r>
    </w:p>
    <w:p>
      <w:pPr>
        <w:keepLines/>
      </w:pPr>
      <w:r>
        <w:rPr>
          <w:b/>
        </w:rPr>
        <w:t>QuantEdge application:</w:t>
      </w:r>
      <w:r>
        <w:t xml:space="preserve"> Maintain a reproducible roll schedule, contract calendar and P&amp;L ledger for any commodity futures allocation. Explain the exact investment vehicle in the report and application.</w:t>
      </w:r>
    </w:p>
    <w:p>
      <w:pPr>
        <w:keepLines/>
      </w:pPr>
      <w:r>
        <w:rPr>
          <w:b/>
        </w:rPr>
        <w:t>Critical caution:</w:t>
      </w:r>
      <w:r>
        <w:t xml:space="preserve"> Continuous-price convenience is not proof of investability. A backtest that mixes physical cash prices with futures trading accounting may give invalid returns, drawdowns, VaR and ES.</w:t>
      </w:r>
    </w:p>
    <w:p>
      <w:pPr>
        <w:pStyle w:val="Heading2"/>
      </w:pPr>
      <w:r>
        <w:t>B02-S24  |  Slide 24  —  Module 3 — derivatives trading in practice</w:t>
      </w:r>
    </w:p>
    <w:p>
      <w:pPr>
        <w:pStyle w:val="SmallMuted"/>
        <w:keepNext w:val="0"/>
      </w:pPr>
      <w:r>
        <w:t>TOPIC MODULE TRANSITION AND REAL-WORLD IMPLEMENTATION.</w:t>
      </w:r>
    </w:p>
    <w:p>
      <w:pPr>
        <w:keepLines/>
      </w:pPr>
      <w:r>
        <w:rPr>
          <w:b/>
        </w:rPr>
        <w:t>Source essence:</w:t>
      </w:r>
      <w:r>
        <w:t xml:space="preserve"> Introduces positions, counterparties, leverage, margin, hedges and roll decisions across commodity, currency and financial derivatives.</w:t>
      </w:r>
    </w:p>
    <w:p>
      <w:pPr>
        <w:keepLines/>
      </w:pPr>
      <w:r>
        <w:rPr>
          <w:b/>
        </w:rPr>
        <w:t>Concept / explanation:</w:t>
      </w:r>
      <w:r>
        <w:t xml:space="preserve"> This section shifts from reading quotes to understanding the contracts and cash accounts that turn an economic view into a trade. The slide is a module header; it does not introduce a new calculation or a new contest rule.</w:t>
      </w:r>
    </w:p>
    <w:p>
      <w:pPr>
        <w:keepLines/>
      </w:pPr>
      <w:r>
        <w:rPr>
          <w:b/>
        </w:rPr>
        <w:t>QuantEdge application:</w:t>
      </w:r>
      <w:r>
        <w:t xml:space="preserve"> Use this section as a practical due-diligence reference if futures, options, forwards or swaps are considered.</w:t>
      </w:r>
    </w:p>
    <w:p>
      <w:pPr>
        <w:keepLines/>
      </w:pPr>
      <w:r>
        <w:rPr>
          <w:b/>
        </w:rPr>
        <w:t>Critical caution:</w:t>
      </w:r>
      <w:r>
        <w:t xml:space="preserve"> Do not infer that every derivative described in a teaching module is permitted by the competition.</w:t>
      </w:r>
    </w:p>
    <w:p>
      <w:pPr>
        <w:pStyle w:val="Heading2"/>
      </w:pPr>
      <w:r>
        <w:t>B02-S25  |  Slide 25  —  Four derivative families — rights and obligations</w:t>
      </w:r>
    </w:p>
    <w:p>
      <w:pPr>
        <w:pStyle w:val="SmallMuted"/>
        <w:keepNext w:val="0"/>
      </w:pPr>
      <w:r>
        <w:t>TOPIC FORWARD, FUTURES, OPTIONS AND SWAPS.</w:t>
      </w:r>
    </w:p>
    <w:p>
      <w:pPr>
        <w:keepLines/>
      </w:pPr>
      <w:r>
        <w:rPr>
          <w:b/>
        </w:rPr>
        <w:t>Source essence:</w:t>
      </w:r>
      <w:r>
        <w:t xml:space="preserve"> </w:t>
      </w:r>
      <w:r>
        <w:rPr>
          <w:b/>
        </w:rPr>
        <w:t>Forward:</w:t>
      </w:r>
      <w:r>
        <w:t xml:space="preserve"> customized bilateral future trade with negotiated collateral and settlement. </w:t>
      </w:r>
      <w:r>
        <w:rPr>
          <w:b/>
        </w:rPr>
        <w:t>Future:</w:t>
      </w:r>
      <w:r>
        <w:t xml:space="preserve"> standardized exchange-listed exposure with margin and daily settlement. </w:t>
      </w:r>
      <w:r>
        <w:rPr>
          <w:b/>
        </w:rPr>
        <w:t>Option:</w:t>
      </w:r>
      <w:r>
        <w:t xml:space="preserve"> call or put right with a typically upfront buyer premium and nonlinear payoff. </w:t>
      </w:r>
      <w:r>
        <w:rPr>
          <w:b/>
        </w:rPr>
        <w:t>Swap:</w:t>
      </w:r>
      <w:r>
        <w:t xml:space="preserve"> agreement to exchange specified cash-flow streams, for example fixed and floating interest.</w:t>
      </w:r>
    </w:p>
    <w:p>
      <w:pPr>
        <w:keepLines/>
      </w:pPr>
      <w:r>
        <w:rPr>
          <w:b/>
        </w:rPr>
        <w:t>Concept / explanation:</w:t>
      </w:r>
      <w:r>
        <w:t xml:space="preserve"> Contract type changes counterparty exposure, hedging ability, cash requirements, downside shape and pricing. Forwards may be collateralized but still have bilateral credit risk; futures are settled daily; option writers have different margin/tail risk from option buyers; swaps can transform funding exposure.</w:t>
      </w:r>
    </w:p>
    <w:p>
      <w:pPr>
        <w:keepLines/>
      </w:pPr>
      <w:r>
        <w:rPr>
          <w:b/>
        </w:rPr>
        <w:t>QuantEdge application:</w:t>
      </w:r>
      <w:r>
        <w:t xml:space="preserve"> If evaluating an overlay, document type, bilateral/exchange venue, collateral policy, payoff and counterparty/clearing risk before including its returns in optimization.</w:t>
      </w:r>
    </w:p>
    <w:p>
      <w:pPr>
        <w:keepLines/>
      </w:pPr>
      <w:r>
        <w:rPr>
          <w:b/>
        </w:rPr>
        <w:t>Critical caution:</w:t>
      </w:r>
      <w:r>
        <w:t xml:space="preserve"> “Derivatives” is not one uniform asset class. Long-option premium, futures initial margin and swap collateral are financially different cash flows.</w:t>
      </w:r>
    </w:p>
    <w:p>
      <w:pPr>
        <w:pStyle w:val="Heading2"/>
      </w:pPr>
      <w:r>
        <w:t>B02-S26  |  Slide 26  —  Read a futures contract before trading it</w:t>
      </w:r>
    </w:p>
    <w:p>
      <w:pPr>
        <w:pStyle w:val="SmallMuted"/>
        <w:keepNext w:val="0"/>
      </w:pPr>
      <w:r>
        <w:t>TOPIC CONTRACT-SPECIFICATION CHECKLIST.</w:t>
      </w:r>
    </w:p>
    <w:p>
      <w:pPr>
        <w:keepLines/>
      </w:pPr>
      <w:r>
        <w:rPr>
          <w:b/>
        </w:rPr>
        <w:t>Source essence:</w:t>
      </w:r>
      <w:r>
        <w:t xml:space="preserve"> The terms to record are underlying, contract size, expiry, quotation convention, settlement mode and initial/maintenance margin. Lecture examples use 100 oz for gold and 1,000 barrels for WTI as standard contract sizes, with a caution to verify current exchange details.</w:t>
      </w:r>
    </w:p>
    <w:p>
      <w:pPr>
        <w:keepLines/>
      </w:pPr>
      <w:r>
        <w:rPr>
          <w:b/>
        </w:rPr>
        <w:t>Concept / explanation:</w:t>
      </w:r>
      <w:r>
        <w:t xml:space="preserve"> Contract size is the P&amp;L multiplier; expiry and last trading day determine roll/delivery risk; quote units determine tick value; cash versus physical settlement determines end-of-life obligations. Margins can change over time and across brokers.</w:t>
      </w:r>
    </w:p>
    <w:p>
      <w:pPr>
        <w:keepLines/>
      </w:pPr>
      <w:r>
        <w:rPr>
          <w:b/>
        </w:rPr>
        <w:t>QuantEdge application:</w:t>
      </w:r>
      <w:r>
        <w:t xml:space="preserve"> Create an instrument-master table with exchange ticker, contract month, multiplier, quote currency/unit, expiry, delivery/cash rules, margin, permitted status and information source.</w:t>
      </w:r>
    </w:p>
    <w:p>
      <w:pPr>
        <w:keepLines/>
      </w:pPr>
      <w:r>
        <w:rPr>
          <w:b/>
        </w:rPr>
        <w:t>Critical caution:</w:t>
      </w:r>
      <w:r>
        <w:t xml:space="preserve"> A ticker alone is insufficient. Use the latest exchange and broker specifications for any live or realistically simulated position, not the lecture's illustrative values.</w:t>
      </w:r>
    </w:p>
    <w:p>
      <w:pPr>
        <w:pStyle w:val="Heading2"/>
      </w:pPr>
      <w:r>
        <w:t>B02-S27  |  Slide 27  —  Long and short futures — symmetric P&amp;L</w:t>
      </w:r>
    </w:p>
    <w:p>
      <w:pPr>
        <w:pStyle w:val="SmallMuted"/>
        <w:keepNext w:val="0"/>
      </w:pPr>
      <w:r>
        <w:t>TOPIC SIGNED EXPOSURE AND GAIN/LOSS.</w:t>
      </w:r>
    </w:p>
    <w:p>
      <w:pPr>
        <w:keepLines/>
      </w:pPr>
      <w:r>
        <w:rPr>
          <w:b/>
        </w:rPr>
        <w:t>Source essence:</w:t>
      </w:r>
      <w:r>
        <w:t xml:space="preserve"> A long futures position gains as the contract quote rises; a short futures position gains as it falls. Either side can lose more than the original margin deposit.</w:t>
      </w:r>
    </w:p>
    <w:p>
      <w:pPr>
        <w:keepLines/>
      </w:pPr>
      <w:r>
        <w:rPr>
          <w:b/>
        </w:rPr>
        <w:t>Concept / explanation:</w:t>
      </w:r>
      <w:r>
        <w:t xml:space="preserve"> The lecturer assumes one 100-ounce gold contract entered at $2,400/oz. At a $2,415 exit, long P&amp;L = </w:t>
      </w:r>
      <w:r>
        <w:rPr>
          <w:rFonts w:ascii="Consolas" w:hAnsi="Consolas"/>
          <w:color w:val="135476"/>
          <w:sz w:val="17"/>
        </w:rPr>
        <w:t>(2415 − 2400) × 100 = +$1,500</w:t>
      </w:r>
      <w:r>
        <w:t xml:space="preserve"> and short = </w:t>
      </w:r>
      <w:r>
        <w:rPr>
          <w:rFonts w:ascii="Consolas" w:hAnsi="Consolas"/>
          <w:color w:val="135476"/>
          <w:sz w:val="17"/>
        </w:rPr>
        <w:t>−$1,500</w:t>
      </w:r>
      <w:r>
        <w:t xml:space="preserve">. At a $2,375 exit, long = </w:t>
      </w:r>
      <w:r>
        <w:rPr>
          <w:rFonts w:ascii="Consolas" w:hAnsi="Consolas"/>
          <w:color w:val="135476"/>
          <w:sz w:val="17"/>
        </w:rPr>
        <w:t>−$2,500</w:t>
      </w:r>
      <w:r>
        <w:t xml:space="preserve"> and short = </w:t>
      </w:r>
      <w:r>
        <w:rPr>
          <w:rFonts w:ascii="Consolas" w:hAnsi="Consolas"/>
          <w:color w:val="135476"/>
          <w:sz w:val="17"/>
        </w:rPr>
        <w:t>+$2,500</w:t>
      </w:r>
      <w:r>
        <w:t xml:space="preserve"> (before costs).</w:t>
      </w:r>
    </w:p>
    <w:p>
      <w:pPr>
        <w:keepLines/>
      </w:pPr>
      <w:r>
        <w:rPr>
          <w:b/>
        </w:rPr>
        <w:t>QuantEdge application:</w:t>
      </w:r>
      <w:r>
        <w:t xml:space="preserve"> Represent each futures trade with a signed count and multiplier; measure its P&amp;L in portfolio currency and include both upside and downside shocks.</w:t>
      </w:r>
    </w:p>
    <w:p>
      <w:pPr>
        <w:keepLines/>
      </w:pPr>
      <w:r>
        <w:rPr>
          <w:b/>
        </w:rPr>
        <w:t>Critical caution:</w:t>
      </w:r>
      <w:r>
        <w:t xml:space="preserve"> Margin is collateral, </w:t>
      </w:r>
      <w:r>
        <w:rPr>
          <w:b/>
        </w:rPr>
        <w:t>not</w:t>
      </w:r>
      <w:r>
        <w:t xml:space="preserve"> an option premium or maximum possible loss; a correct allocation cannot limit loss by treating margin posted as the amount invested.</w:t>
      </w:r>
    </w:p>
    <w:p>
      <w:pPr>
        <w:pStyle w:val="Heading2"/>
      </w:pPr>
      <w:r>
        <w:t>B02-S28  |  Slide 28  —  Futures profit is not movement in the margin deposit</w:t>
      </w:r>
    </w:p>
    <w:p>
      <w:pPr>
        <w:pStyle w:val="SmallMuted"/>
        <w:keepNext w:val="0"/>
      </w:pPr>
      <w:r>
        <w:t>TOPIC ACTUAL FUTURES PROFIT/LOSS FORMULA.</w:t>
      </w:r>
    </w:p>
    <w:p>
      <w:pPr>
        <w:keepLines/>
      </w:pPr>
      <w:r>
        <w:rPr>
          <w:b/>
        </w:rPr>
        <w:t>Source essence:</w:t>
      </w:r>
      <w:r>
        <w:t xml:space="preserve"> </w:t>
      </w:r>
      <w:r>
        <w:rPr>
          <w:rFonts w:ascii="Consolas" w:hAnsi="Consolas"/>
          <w:color w:val="135476"/>
          <w:sz w:val="17"/>
        </w:rPr>
        <w:t>P&amp;L = N × M × (F_close − F_entry)</w:t>
      </w:r>
      <w:r>
        <w:t xml:space="preserve">; </w:t>
      </w:r>
      <w:r>
        <w:rPr>
          <w:rFonts w:ascii="Consolas" w:hAnsi="Consolas"/>
          <w:color w:val="135476"/>
          <w:sz w:val="17"/>
        </w:rPr>
        <w:t>N</w:t>
      </w:r>
      <w:r>
        <w:t xml:space="preserve"> is positive for long and negative for short, </w:t>
      </w:r>
      <w:r>
        <w:rPr>
          <w:rFonts w:ascii="Consolas" w:hAnsi="Consolas"/>
          <w:color w:val="135476"/>
          <w:sz w:val="17"/>
        </w:rPr>
        <w:t>M</w:t>
      </w:r>
      <w:r>
        <w:t xml:space="preserve"> contract multiplier, </w:t>
      </w:r>
      <w:r>
        <w:rPr>
          <w:rFonts w:ascii="Consolas" w:hAnsi="Consolas"/>
          <w:color w:val="135476"/>
          <w:sz w:val="17"/>
        </w:rPr>
        <w:t>F</w:t>
      </w:r>
      <w:r>
        <w:t xml:space="preserve"> futures quotation.</w:t>
      </w:r>
    </w:p>
    <w:p>
      <w:pPr>
        <w:keepLines/>
      </w:pPr>
      <w:r>
        <w:rPr>
          <w:b/>
        </w:rPr>
        <w:t>Concept / explanation:</w:t>
      </w:r>
      <w:r>
        <w:t xml:space="preserve"> For one long 100-ounce gold contract purchased at $2,400 and closed at $2,385, P&amp;L = </w:t>
      </w:r>
      <w:r>
        <w:rPr>
          <w:rFonts w:ascii="Consolas" w:hAnsi="Consolas"/>
          <w:color w:val="135476"/>
          <w:sz w:val="17"/>
        </w:rPr>
        <w:t>1 × 100 × (2385 − 2400) = −$1,500</w:t>
      </w:r>
      <w:r>
        <w:t>. As futures are marked daily, the cumulative movement is the sum of daily variation-margin cash settlements. The simple equation excludes commissions and funding costs.</w:t>
      </w:r>
    </w:p>
    <w:p>
      <w:pPr>
        <w:keepLines/>
      </w:pPr>
      <w:r>
        <w:rPr>
          <w:b/>
        </w:rPr>
        <w:t>QuantEdge application:</w:t>
      </w:r>
      <w:r>
        <w:t xml:space="preserve"> Calculate position-level dollar P&amp;L and size whole contracts from a risk budget. Keep the collateral ledger distinct from earned or lost trading P&amp;L.</w:t>
      </w:r>
    </w:p>
    <w:p>
      <w:pPr>
        <w:keepLines/>
      </w:pPr>
      <w:r>
        <w:rPr>
          <w:b/>
        </w:rPr>
        <w:t>Critical caution:</w:t>
      </w:r>
      <w:r>
        <w:t xml:space="preserve"> Multipliers, signs and units must align. A wrong multiplier leads to systematically wrong return, VaR, ES and exposure numbers.</w:t>
      </w:r>
    </w:p>
    <w:p>
      <w:pPr>
        <w:pStyle w:val="Heading2"/>
      </w:pPr>
      <w:r>
        <w:t>B02-S29  |  Slide 29  —  Futures margin versus borrowing to buy shares</w:t>
      </w:r>
    </w:p>
    <w:p>
      <w:pPr>
        <w:pStyle w:val="SmallMuted"/>
        <w:keepNext w:val="0"/>
      </w:pPr>
      <w:r>
        <w:t>TOPIC PERFORMANCE BOND VERSUS SECURITIES MARGIN LOAN.</w:t>
      </w:r>
    </w:p>
    <w:p>
      <w:pPr>
        <w:keepLines/>
      </w:pPr>
      <w:r>
        <w:rPr>
          <w:b/>
        </w:rPr>
        <w:t>Source essence:</w:t>
      </w:r>
      <w:r>
        <w:t xml:space="preserve"> </w:t>
      </w:r>
      <w:r>
        <w:rPr>
          <w:b/>
        </w:rPr>
        <w:t>Futures initial margin</w:t>
      </w:r>
      <w:r>
        <w:t xml:space="preserve"> is security for contractual performance. Daily variation margin credits/debits profit or loss, and falling below maintenance can force cash deposit or liquidation. </w:t>
      </w:r>
      <w:r>
        <w:rPr>
          <w:b/>
        </w:rPr>
        <w:t>Stock margin buying</w:t>
      </w:r>
      <w:r>
        <w:t xml:space="preserve"> is financing a purchased share with broker borrowing, usually involving interest.</w:t>
      </w:r>
    </w:p>
    <w:p>
      <w:pPr>
        <w:keepLines/>
      </w:pPr>
      <w:r>
        <w:rPr>
          <w:b/>
        </w:rPr>
        <w:t>Concept / explanation:</w:t>
      </w:r>
      <w:r>
        <w:t xml:space="preserve"> In a futures position the investor generally does not pay the contract notional up front, whereas a financed share purchase still involves ownership of a purchased stock. Even a potentially successful longer-term trade can fail because daily cash calls cannot be financed.</w:t>
      </w:r>
    </w:p>
    <w:p>
      <w:pPr>
        <w:keepLines/>
      </w:pPr>
      <w:r>
        <w:rPr>
          <w:b/>
        </w:rPr>
        <w:t>QuantEdge application:</w:t>
      </w:r>
      <w:r>
        <w:t xml:space="preserve"> Add stressed margin-liquidity scenarios and cash-buffer policies separate from risk measured by return volatility, VaR or ES.</w:t>
      </w:r>
    </w:p>
    <w:p>
      <w:pPr>
        <w:keepLines/>
      </w:pPr>
      <w:r>
        <w:rPr>
          <w:b/>
        </w:rPr>
        <w:t>Critical caution:</w:t>
      </w:r>
      <w:r>
        <w:t xml:space="preserve"> Calling futures initial margin “the purchase price” confuses exposure, funding and loss risk.</w:t>
      </w:r>
    </w:p>
    <w:p>
      <w:pPr>
        <w:pStyle w:val="Heading2"/>
      </w:pPr>
      <w:r>
        <w:t>B02-S30  |  Slide 30  —  Three-date margin account walkthrough</w:t>
      </w:r>
    </w:p>
    <w:p>
      <w:pPr>
        <w:pStyle w:val="SmallMuted"/>
        <w:keepNext w:val="0"/>
      </w:pPr>
      <w:r>
        <w:t>TOPIC CASH LIQUIDITY AND MAINTENANCE THRESHOLD.</w:t>
      </w:r>
    </w:p>
    <w:p>
      <w:pPr>
        <w:keepLines/>
      </w:pPr>
      <w:r>
        <w:rPr>
          <w:b/>
        </w:rPr>
        <w:t>Source essence:</w:t>
      </w:r>
      <w:r>
        <w:t xml:space="preserve"> Hypothetical gold trade: an initial margin deposit of </w:t>
      </w:r>
      <w:r>
        <w:rPr>
          <w:rFonts w:ascii="Consolas" w:hAnsi="Consolas"/>
          <w:color w:val="135476"/>
          <w:sz w:val="17"/>
        </w:rPr>
        <w:t>$12,000</w:t>
      </w:r>
      <w:r>
        <w:t xml:space="preserve"> supports about </w:t>
      </w:r>
      <w:r>
        <w:rPr>
          <w:rFonts w:ascii="Consolas" w:hAnsi="Consolas"/>
          <w:color w:val="135476"/>
          <w:sz w:val="17"/>
        </w:rPr>
        <w:t>$240,000</w:t>
      </w:r>
      <w:r>
        <w:t xml:space="preserve"> notional. After a </w:t>
      </w:r>
      <w:r>
        <w:rPr>
          <w:rFonts w:ascii="Consolas" w:hAnsi="Consolas"/>
          <w:color w:val="135476"/>
          <w:sz w:val="17"/>
        </w:rPr>
        <w:t>+$1,500</w:t>
      </w:r>
      <w:r>
        <w:t xml:space="preserve"> Day 1 variation, equity rises to </w:t>
      </w:r>
      <w:r>
        <w:rPr>
          <w:rFonts w:ascii="Consolas" w:hAnsi="Consolas"/>
          <w:color w:val="135476"/>
          <w:sz w:val="17"/>
        </w:rPr>
        <w:t>$13,500</w:t>
      </w:r>
      <w:r>
        <w:t xml:space="preserve">; a </w:t>
      </w:r>
      <w:r>
        <w:rPr>
          <w:rFonts w:ascii="Consolas" w:hAnsi="Consolas"/>
          <w:color w:val="135476"/>
          <w:sz w:val="17"/>
        </w:rPr>
        <w:t>−$4,000</w:t>
      </w:r>
      <w:r>
        <w:t xml:space="preserve"> Day 2 variation leaves </w:t>
      </w:r>
      <w:r>
        <w:rPr>
          <w:rFonts w:ascii="Consolas" w:hAnsi="Consolas"/>
          <w:color w:val="135476"/>
          <w:sz w:val="17"/>
        </w:rPr>
        <w:t>$9,500</w:t>
      </w:r>
      <w:r>
        <w:t xml:space="preserve">. With </w:t>
      </w:r>
      <w:r>
        <w:rPr>
          <w:rFonts w:ascii="Consolas" w:hAnsi="Consolas"/>
          <w:color w:val="135476"/>
          <w:sz w:val="17"/>
        </w:rPr>
        <w:t>$10,000</w:t>
      </w:r>
      <w:r>
        <w:t xml:space="preserve"> maintenance margin, the example requires a </w:t>
      </w:r>
      <w:r>
        <w:rPr>
          <w:rFonts w:ascii="Consolas" w:hAnsi="Consolas"/>
          <w:color w:val="135476"/>
          <w:sz w:val="17"/>
        </w:rPr>
        <w:t>$2,500</w:t>
      </w:r>
      <w:r>
        <w:t xml:space="preserve"> top-up to restore </w:t>
      </w:r>
      <w:r>
        <w:rPr>
          <w:rFonts w:ascii="Consolas" w:hAnsi="Consolas"/>
          <w:color w:val="135476"/>
          <w:sz w:val="17"/>
        </w:rPr>
        <w:t>$12,000</w:t>
      </w:r>
      <w:r>
        <w:t xml:space="preserve"> initial margin.</w:t>
      </w:r>
    </w:p>
    <w:p>
      <w:pPr>
        <w:keepLines/>
      </w:pPr>
      <w:r>
        <w:rPr>
          <w:b/>
        </w:rPr>
        <w:t>Concept / explanation:</w:t>
      </w:r>
      <w:r>
        <w:t xml:space="preserve"> A margin call is a </w:t>
      </w:r>
      <w:r>
        <w:rPr>
          <w:i/>
        </w:rPr>
        <w:t>cash funding obligation</w:t>
      </w:r>
      <w:r>
        <w:t>, distinct from closing P&amp;L. The lecture states these thresholds illustrate a generic rule only: real brokers may set different maintenance conditions, top-up amounts, dates and calls; margin requirements can increase with volatility.</w:t>
      </w:r>
    </w:p>
    <w:p>
      <w:pPr>
        <w:keepLines/>
      </w:pPr>
      <w:r>
        <w:rPr>
          <w:b/>
        </w:rPr>
        <w:t>QuantEdge application:</w:t>
      </w:r>
      <w:r>
        <w:t xml:space="preserve"> Forecast adverse variation calls, estimate the cash that must remain available and check that scenario losses would not trigger forced liquidation.</w:t>
      </w:r>
    </w:p>
    <w:p>
      <w:pPr>
        <w:keepLines/>
      </w:pPr>
      <w:r>
        <w:rPr>
          <w:b/>
        </w:rPr>
        <w:t>Critical caution:</w:t>
      </w:r>
      <w:r>
        <w:t xml:space="preserve"> Do not hold initial margin fixed as a universal percentage of contract notional.</w:t>
      </w:r>
    </w:p>
    <w:p>
      <w:pPr>
        <w:pStyle w:val="Heading2"/>
      </w:pPr>
      <w:r>
        <w:t>B02-S31  |  Slide 31  —  Margin account — numerical ledger</w:t>
      </w:r>
    </w:p>
    <w:p>
      <w:pPr>
        <w:pStyle w:val="SmallMuted"/>
        <w:keepNext w:val="0"/>
      </w:pPr>
      <w:r>
        <w:t>TOPIC RECONCILIATION OF PRICE MOVEMENT, EQUITY AND DEPOSITS.</w:t>
      </w:r>
    </w:p>
    <w:p>
      <w:pPr>
        <w:keepLines/>
      </w:pPr>
      <w:r>
        <w:rPr>
          <w:b/>
        </w:rPr>
        <w:t>Source essence:</w:t>
      </w:r>
      <w:r>
        <w:t xml:space="preserve"> Entry settlement </w:t>
      </w:r>
      <w:r>
        <w:rPr>
          <w:rFonts w:ascii="Consolas" w:hAnsi="Consolas"/>
          <w:color w:val="135476"/>
          <w:sz w:val="17"/>
        </w:rPr>
        <w:t>$2,400/oz</w:t>
      </w:r>
      <w:r>
        <w:t xml:space="preserve">, account </w:t>
      </w:r>
      <w:r>
        <w:rPr>
          <w:rFonts w:ascii="Consolas" w:hAnsi="Consolas"/>
          <w:color w:val="135476"/>
          <w:sz w:val="17"/>
        </w:rPr>
        <w:t>$12,000</w:t>
      </w:r>
      <w:r>
        <w:t xml:space="preserve">; Day 1 settlement </w:t>
      </w:r>
      <w:r>
        <w:rPr>
          <w:rFonts w:ascii="Consolas" w:hAnsi="Consolas"/>
          <w:color w:val="135476"/>
          <w:sz w:val="17"/>
        </w:rPr>
        <w:t>$2,415/oz</w:t>
      </w:r>
      <w:r>
        <w:t xml:space="preserve">, P&amp;L </w:t>
      </w:r>
      <w:r>
        <w:rPr>
          <w:rFonts w:ascii="Consolas" w:hAnsi="Consolas"/>
          <w:color w:val="135476"/>
          <w:sz w:val="17"/>
        </w:rPr>
        <w:t>+$1,500</w:t>
      </w:r>
      <w:r>
        <w:t xml:space="preserve">, account </w:t>
      </w:r>
      <w:r>
        <w:rPr>
          <w:rFonts w:ascii="Consolas" w:hAnsi="Consolas"/>
          <w:color w:val="135476"/>
          <w:sz w:val="17"/>
        </w:rPr>
        <w:t>$13,500</w:t>
      </w:r>
      <w:r>
        <w:t xml:space="preserve">; Day 2 settlement </w:t>
      </w:r>
      <w:r>
        <w:rPr>
          <w:rFonts w:ascii="Consolas" w:hAnsi="Consolas"/>
          <w:color w:val="135476"/>
          <w:sz w:val="17"/>
        </w:rPr>
        <w:t>$2,375/oz</w:t>
      </w:r>
      <w:r>
        <w:t xml:space="preserve">, incremental P&amp;L </w:t>
      </w:r>
      <w:r>
        <w:rPr>
          <w:rFonts w:ascii="Consolas" w:hAnsi="Consolas"/>
          <w:color w:val="135476"/>
          <w:sz w:val="17"/>
        </w:rPr>
        <w:t>−$4,000</w:t>
      </w:r>
      <w:r>
        <w:t xml:space="preserve">, account </w:t>
      </w:r>
      <w:r>
        <w:rPr>
          <w:rFonts w:ascii="Consolas" w:hAnsi="Consolas"/>
          <w:color w:val="135476"/>
          <w:sz w:val="17"/>
        </w:rPr>
        <w:t>$9,500</w:t>
      </w:r>
      <w:r>
        <w:t xml:space="preserve">; add </w:t>
      </w:r>
      <w:r>
        <w:rPr>
          <w:rFonts w:ascii="Consolas" w:hAnsi="Consolas"/>
          <w:color w:val="135476"/>
          <w:sz w:val="17"/>
        </w:rPr>
        <w:t>$2,500</w:t>
      </w:r>
      <w:r>
        <w:t xml:space="preserve"> external cash to restore account to </w:t>
      </w:r>
      <w:r>
        <w:rPr>
          <w:rFonts w:ascii="Consolas" w:hAnsi="Consolas"/>
          <w:color w:val="135476"/>
          <w:sz w:val="17"/>
        </w:rPr>
        <w:t>$12,000</w:t>
      </w:r>
      <w:r>
        <w:t>.</w:t>
      </w:r>
    </w:p>
    <w:p>
      <w:pPr>
        <w:keepLines/>
      </w:pPr>
      <w:r>
        <w:rPr>
          <w:b/>
        </w:rPr>
        <w:t>Concept / explanation:</w:t>
      </w:r>
      <w:r>
        <w:t xml:space="preserve"> Net cumulative trading P&amp;L is </w:t>
      </w:r>
      <w:r>
        <w:rPr>
          <w:rFonts w:ascii="Consolas" w:hAnsi="Consolas"/>
          <w:color w:val="135476"/>
          <w:sz w:val="17"/>
        </w:rPr>
        <w:t>$1,500 − $4,000 = −$2,500</w:t>
      </w:r>
      <w:r>
        <w:t xml:space="preserve">, equivalent to </w:t>
      </w:r>
      <w:r>
        <w:rPr>
          <w:rFonts w:ascii="Consolas" w:hAnsi="Consolas"/>
          <w:color w:val="135476"/>
          <w:sz w:val="17"/>
        </w:rPr>
        <w:t>(2375 − 2400) × 100 = −$2,500</w:t>
      </w:r>
      <w:r>
        <w:t xml:space="preserve">. The </w:t>
      </w:r>
      <w:r>
        <w:rPr>
          <w:rFonts w:ascii="Consolas" w:hAnsi="Consolas"/>
          <w:color w:val="135476"/>
          <w:sz w:val="17"/>
        </w:rPr>
        <w:t>$2,500</w:t>
      </w:r>
      <w:r>
        <w:t xml:space="preserve"> cash top-up changes account liquidity but does </w:t>
      </w:r>
      <w:r>
        <w:rPr>
          <w:b/>
        </w:rPr>
        <w:t>not</w:t>
      </w:r>
      <w:r>
        <w:t xml:space="preserve"> erase the loss or constitute new trading profit.</w:t>
      </w:r>
    </w:p>
    <w:p>
      <w:pPr>
        <w:keepLines/>
      </w:pPr>
      <w:r>
        <w:rPr>
          <w:b/>
        </w:rPr>
        <w:t>QuantEdge application:</w:t>
      </w:r>
      <w:r>
        <w:t xml:space="preserve"> Implement an auditable margin ledger with columns for date, settlement, variation P&amp;L, account equity before/after external cash, cash calls and contract status.</w:t>
      </w:r>
    </w:p>
    <w:p>
      <w:pPr>
        <w:keepLines/>
      </w:pPr>
      <w:r>
        <w:rPr>
          <w:b/>
        </w:rPr>
        <w:t>Critical caution:</w:t>
      </w:r>
      <w:r>
        <w:t xml:space="preserve"> An account balance restored to its original amount is not evidence that the strategy broke even. Real broker timing and requirements must be confirmed.</w:t>
      </w:r>
    </w:p>
    <w:p>
      <w:pPr>
        <w:pStyle w:val="Heading2"/>
      </w:pPr>
      <w:r>
        <w:t>B02-S32  |  Slide 32  —  Collateral balance is not strategy profit</w:t>
      </w:r>
    </w:p>
    <w:p>
      <w:pPr>
        <w:pStyle w:val="SmallMuted"/>
        <w:keepNext w:val="0"/>
      </w:pPr>
      <w:r>
        <w:t>TOPIC TRADING P&amp;L VERSUS ACCOUNT EQUITY AND NAV RETURN.</w:t>
      </w:r>
    </w:p>
    <w:p>
      <w:pPr>
        <w:keepLines/>
      </w:pPr>
      <w:r>
        <w:rPr>
          <w:b/>
        </w:rPr>
        <w:t>Source essence:</w:t>
      </w:r>
      <w:r>
        <w:t xml:space="preserve"> Collateral equity combines external deposits/withdrawals with cumulative variation margin. The </w:t>
      </w:r>
      <w:r>
        <w:rPr>
          <w:rFonts w:ascii="Consolas" w:hAnsi="Consolas"/>
          <w:color w:val="135476"/>
          <w:sz w:val="17"/>
        </w:rPr>
        <w:t>$2,500</w:t>
      </w:r>
      <w:r>
        <w:t xml:space="preserve"> top-up from the example is funding, not profit. Closing the contract does not undo previously settled P&amp;L.</w:t>
      </w:r>
    </w:p>
    <w:p>
      <w:pPr>
        <w:keepLines/>
      </w:pPr>
      <w:r>
        <w:rPr>
          <w:b/>
        </w:rPr>
        <w:t>Concept / explanation:</w:t>
      </w:r>
      <w:r>
        <w:t xml:space="preserve"> Return calculated using the </w:t>
      </w:r>
      <w:r>
        <w:rPr>
          <w:rFonts w:ascii="Consolas" w:hAnsi="Consolas"/>
          <w:color w:val="135476"/>
          <w:sz w:val="17"/>
        </w:rPr>
        <w:t>$12,000</w:t>
      </w:r>
      <w:r>
        <w:t xml:space="preserve"> margin deposit is a leveraged return-on-collateral statistic; it should not be casually compared with a fully paid share/ETF return. The speaker notes say multi-asset institutional futures strategies should report contribution relative to </w:t>
      </w:r>
      <w:r>
        <w:rPr>
          <w:b/>
        </w:rPr>
        <w:t>portfolio net asset value (NAV)</w:t>
      </w:r>
      <w:r>
        <w:t xml:space="preserve"> and disclose contract notionals.</w:t>
      </w:r>
    </w:p>
    <w:p>
      <w:pPr>
        <w:keepLines/>
      </w:pPr>
      <w:r>
        <w:rPr>
          <w:b/>
        </w:rPr>
        <w:t>QuantEdge application:</w:t>
      </w:r>
      <w:r>
        <w:t xml:space="preserve"> For portfolio evaluation, reconcile P&amp;L into beginning-of-period NAV, separately disclosing leverage, collateral and gross notional; never divide futures P&amp;L by margin cash and call it the portfolio return.</w:t>
      </w:r>
    </w:p>
    <w:p>
      <w:pPr>
        <w:keepLines/>
      </w:pPr>
      <w:r>
        <w:rPr>
          <w:b/>
        </w:rPr>
        <w:t>Critical caution:</w:t>
      </w:r>
      <w:r>
        <w:t xml:space="preserve"> A collateral-based return may look unusually large because of leverage, even without extraordinary underlying economic performance.</w:t>
      </w:r>
    </w:p>
    <w:p>
      <w:pPr>
        <w:pStyle w:val="Heading2"/>
      </w:pPr>
      <w:r>
        <w:t>B02-S33  |  Slide 33  —  Short-selling shares versus SHORT futures</w:t>
      </w:r>
    </w:p>
    <w:p>
      <w:pPr>
        <w:pStyle w:val="SmallMuted"/>
        <w:keepNext w:val="0"/>
      </w:pPr>
      <w:r>
        <w:t>TOPIC SAME BEARISH DIRECTION, DIFFERENT MECHANISMS.</w:t>
      </w:r>
    </w:p>
    <w:p>
      <w:pPr>
        <w:keepLines/>
      </w:pPr>
      <w:r>
        <w:rPr>
          <w:b/>
        </w:rPr>
        <w:t>Source essence:</w:t>
      </w:r>
      <w:r>
        <w:t xml:space="preserve"> To short shares: locate and borrow stock, sell it, pay relevant stock-borrow/margin expenses and repurchase to cover. To short futures: sell a listed contract, post collateral, settle daily and buy back the </w:t>
      </w:r>
      <w:r>
        <w:rPr>
          <w:b/>
        </w:rPr>
        <w:t>same expiry</w:t>
      </w:r>
      <w:r>
        <w:t xml:space="preserve"> to offset.</w:t>
      </w:r>
    </w:p>
    <w:p>
      <w:pPr>
        <w:keepLines/>
      </w:pPr>
      <w:r>
        <w:rPr>
          <w:b/>
        </w:rPr>
        <w:t>Concept / explanation:</w:t>
      </w:r>
      <w:r>
        <w:t xml:space="preserve"> Stock shorts can incur borrow fees, recalls/buy-ins, dividend replacement and high losses if share price rises. Short futures generally do not require borrowing underlying shares, but create margin, clearing, expiry and sometimes delivery risks. An index-future short may hedge market beta rather than short individual stock ownership.</w:t>
      </w:r>
    </w:p>
    <w:p>
      <w:pPr>
        <w:keepLines/>
      </w:pPr>
      <w:r>
        <w:rPr>
          <w:b/>
        </w:rPr>
        <w:t>QuantEdge application:</w:t>
      </w:r>
      <w:r>
        <w:t xml:space="preserve"> Account for the distinct transaction mechanics and financing/cash requirements when simulating risk reduction via short positions.</w:t>
      </w:r>
    </w:p>
    <w:p>
      <w:pPr>
        <w:keepLines/>
      </w:pPr>
      <w:r>
        <w:rPr>
          <w:b/>
        </w:rPr>
        <w:t>Critical caution:</w:t>
      </w:r>
      <w:r>
        <w:t xml:space="preserve"> A “short” position describes direction of exposure, not a standardized operational or legal structure; shorting may be disallowed by the competition mandate.</w:t>
      </w:r>
    </w:p>
    <w:p>
      <w:pPr>
        <w:pStyle w:val="Heading2"/>
      </w:pPr>
      <w:r>
        <w:t>B02-S34  |  Slide 34  —  Short futures hedge — calculate losses too</w:t>
      </w:r>
    </w:p>
    <w:p>
      <w:pPr>
        <w:pStyle w:val="SmallMuted"/>
        <w:keepNext w:val="0"/>
      </w:pPr>
      <w:r>
        <w:t>TOPIC WORKING HEDGE EXAMPLE.</w:t>
      </w:r>
    </w:p>
    <w:p>
      <w:pPr>
        <w:keepLines/>
      </w:pPr>
      <w:r>
        <w:rPr>
          <w:b/>
        </w:rPr>
        <w:t>Source essence:</w:t>
      </w:r>
      <w:r>
        <w:t xml:space="preserve"> A coffee exporter shorts </w:t>
      </w:r>
      <w:r>
        <w:rPr>
          <w:rFonts w:ascii="Consolas" w:hAnsi="Consolas"/>
          <w:color w:val="135476"/>
          <w:sz w:val="17"/>
        </w:rPr>
        <w:t>N = −10</w:t>
      </w:r>
      <w:r>
        <w:t xml:space="preserve"> commodity futures at </w:t>
      </w:r>
      <w:r>
        <w:rPr>
          <w:rFonts w:ascii="Consolas" w:hAnsi="Consolas"/>
          <w:color w:val="135476"/>
          <w:sz w:val="17"/>
        </w:rPr>
        <w:t>$215</w:t>
      </w:r>
      <w:r>
        <w:t xml:space="preserve">, with </w:t>
      </w:r>
      <w:r>
        <w:rPr>
          <w:rFonts w:ascii="Consolas" w:hAnsi="Consolas"/>
          <w:color w:val="135476"/>
          <w:sz w:val="17"/>
        </w:rPr>
        <w:t>M = 1,000</w:t>
      </w:r>
      <w:r>
        <w:t xml:space="preserve"> units, then closes at </w:t>
      </w:r>
      <w:r>
        <w:rPr>
          <w:rFonts w:ascii="Consolas" w:hAnsi="Consolas"/>
          <w:color w:val="135476"/>
          <w:sz w:val="17"/>
        </w:rPr>
        <w:t>$225</w:t>
      </w:r>
      <w:r>
        <w:t xml:space="preserve">. </w:t>
      </w:r>
      <w:r>
        <w:rPr>
          <w:rFonts w:ascii="Consolas" w:hAnsi="Consolas"/>
          <w:color w:val="135476"/>
          <w:sz w:val="17"/>
        </w:rPr>
        <w:t>P&amp;L = (−10) × 1000 × (225 − 215) = −$100,000</w:t>
      </w:r>
      <w:r>
        <w:t xml:space="preserve"> on futures.</w:t>
      </w:r>
    </w:p>
    <w:p>
      <w:pPr>
        <w:keepLines/>
      </w:pPr>
      <w:r>
        <w:rPr>
          <w:b/>
        </w:rPr>
        <w:t>Concept / explanation:</w:t>
      </w:r>
      <w:r>
        <w:t xml:space="preserve"> The exporter may earn more from the underlying physical commodity as prices rise, offsetting the derivatives loss. Economic hedge evaluation adds physical P&amp;L and derivatives P&amp;L, while accounting for basis, contracted quantity, grade and maturity mismatches.</w:t>
      </w:r>
    </w:p>
    <w:p>
      <w:pPr>
        <w:keepLines/>
      </w:pPr>
      <w:r>
        <w:rPr>
          <w:b/>
        </w:rPr>
        <w:t>QuantEdge application:</w:t>
      </w:r>
      <w:r>
        <w:t xml:space="preserve"> Present hedges using </w:t>
      </w:r>
      <w:r>
        <w:rPr>
          <w:b/>
        </w:rPr>
        <w:t>total net portfolio exposure</w:t>
      </w:r>
      <w:r>
        <w:t>, not one leg's realized profit. Document whether a proposed position reduces or adds risk relative to the existing holding.</w:t>
      </w:r>
    </w:p>
    <w:p>
      <w:pPr>
        <w:keepLines/>
      </w:pPr>
      <w:r>
        <w:rPr>
          <w:b/>
        </w:rPr>
        <w:t>Critical caution:</w:t>
      </w:r>
      <w:r>
        <w:t xml:space="preserve"> “Derivative loss” is not automatically “hedge failure.” A hedge is assessed against the exposure it was designed to offset.</w:t>
      </w:r>
    </w:p>
    <w:p>
      <w:pPr>
        <w:pStyle w:val="Heading2"/>
      </w:pPr>
      <w:r>
        <w:t>B02-S35  |  Slide 35  —  How a futures position ends</w:t>
      </w:r>
    </w:p>
    <w:p>
      <w:pPr>
        <w:pStyle w:val="SmallMuted"/>
        <w:keepNext w:val="0"/>
      </w:pPr>
      <w:r>
        <w:t>TOPIC TRADE LIFECYCLE, OFFSET, ROLL AND DELIVERY.</w:t>
      </w:r>
    </w:p>
    <w:p>
      <w:pPr>
        <w:keepLines/>
      </w:pPr>
      <w:r>
        <w:rPr>
          <w:b/>
        </w:rPr>
        <w:t>Source essence:</w:t>
      </w:r>
      <w:r>
        <w:t xml:space="preserve"> Enter one November oil future → mark settlement daily → choose exit, roll or carry to expiry → </w:t>
      </w:r>
      <w:r>
        <w:rPr>
          <w:b/>
        </w:rPr>
        <w:t>sell the same November contract</w:t>
      </w:r>
      <w:r>
        <w:t xml:space="preserve"> to close a long → check specific settlement/delivery rules.</w:t>
      </w:r>
    </w:p>
    <w:p>
      <w:pPr>
        <w:keepLines/>
      </w:pPr>
      <w:r>
        <w:rPr>
          <w:b/>
        </w:rPr>
        <w:t>Concept / explanation:</w:t>
      </w:r>
      <w:r>
        <w:t xml:space="preserve"> Selling the identical contract month offsets a long in a netted clearing account. Selling a different expiry while the original remains open creates an additional contract/spread; to roll, close the old expiry and initiate the new expiry. Physical delivery must be handled or avoided according to product and broker deadlines.</w:t>
      </w:r>
    </w:p>
    <w:p>
      <w:pPr>
        <w:keepLines/>
      </w:pPr>
      <w:r>
        <w:rPr>
          <w:b/>
        </w:rPr>
        <w:t>QuantEdge application:</w:t>
      </w:r>
      <w:r>
        <w:t xml:space="preserve"> Store entry and exit dates, identical expiry IDs, roll dates and close-out status; add explicit cutoffs for deliverable contracts where relevant.</w:t>
      </w:r>
    </w:p>
    <w:p>
      <w:pPr>
        <w:keepLines/>
      </w:pPr>
      <w:r>
        <w:rPr>
          <w:b/>
        </w:rPr>
        <w:t>Critical caution:</w:t>
      </w:r>
      <w:r>
        <w:t xml:space="preserve"> Changing the expiry label is </w:t>
      </w:r>
      <w:r>
        <w:rPr>
          <w:b/>
        </w:rPr>
        <w:t>not</w:t>
      </w:r>
      <w:r>
        <w:t xml:space="preserve"> an exit. A mistaken roll or deadline can produce unwanted spread, open exposure or delivery obligations.</w:t>
      </w:r>
    </w:p>
    <w:p>
      <w:pPr>
        <w:pStyle w:val="Heading2"/>
      </w:pPr>
      <w:r>
        <w:t>B02-S36  |  Slide 36  —  Options — insurance-like convexity</w:t>
      </w:r>
    </w:p>
    <w:p>
      <w:pPr>
        <w:pStyle w:val="SmallMuted"/>
        <w:keepNext w:val="0"/>
      </w:pPr>
      <w:r>
        <w:t>TOPIC NONLINEAR CALL/PUT PAYOFF AND PREMIUM.</w:t>
      </w:r>
    </w:p>
    <w:p>
      <w:pPr>
        <w:keepLines/>
      </w:pPr>
      <w:r>
        <w:rPr>
          <w:b/>
        </w:rPr>
        <w:t>Source essence:</w:t>
      </w:r>
      <w:r>
        <w:t xml:space="preserve"> A call gives the buyer a right to buy; a put gives the buyer a right to sell. A long vanilla option's maximum loss is generally its paid premium (ignoring ancillary costs), while option protection can cap certain price-gap risks differently from futures. Illustrative strike </w:t>
      </w:r>
      <w:r>
        <w:rPr>
          <w:rFonts w:ascii="Consolas" w:hAnsi="Consolas"/>
          <w:color w:val="135476"/>
          <w:sz w:val="17"/>
        </w:rPr>
        <w:t>100</w:t>
      </w:r>
      <w:r>
        <w:t xml:space="preserve">, premium </w:t>
      </w:r>
      <w:r>
        <w:rPr>
          <w:rFonts w:ascii="Consolas" w:hAnsi="Consolas"/>
          <w:color w:val="135476"/>
          <w:sz w:val="17"/>
        </w:rPr>
        <w:t>5</w:t>
      </w:r>
      <w:r>
        <w:t xml:space="preserve"> per unit.</w:t>
      </w:r>
    </w:p>
    <w:p>
      <w:pPr>
        <w:keepLines/>
      </w:pPr>
      <w:r>
        <w:rPr>
          <w:b/>
        </w:rPr>
        <w:t>Concept / explanation:</w:t>
      </w:r>
      <w:r>
        <w:t xml:space="preserve"> Protective puts create a downside floor on relevant underlying sale value but require premium expenditure. Options bring sensitivities called </w:t>
      </w:r>
      <w:r>
        <w:rPr>
          <w:i/>
        </w:rPr>
        <w:t>Greeks</w:t>
      </w:r>
      <w:r>
        <w:t xml:space="preserve"> (delta, gamma, theta, vega), which describe price exposures rather than guaranteeing future P&amp;L. An option writer may have substantial or different margin and tail risk.</w:t>
      </w:r>
    </w:p>
    <w:p>
      <w:pPr>
        <w:keepLines/>
      </w:pPr>
      <w:r>
        <w:rPr>
          <w:b/>
        </w:rPr>
        <w:t>QuantEdge application:</w:t>
      </w:r>
      <w:r>
        <w:t xml:space="preserve"> If options are eligible, model nonlinear scenario payoff, premium cost, maturity and sensitivity risk separately from linear futures exposure.</w:t>
      </w:r>
    </w:p>
    <w:p>
      <w:pPr>
        <w:keepLines/>
      </w:pPr>
      <w:r>
        <w:rPr>
          <w:b/>
        </w:rPr>
        <w:t>Critical caution:</w:t>
      </w:r>
      <w:r>
        <w:t xml:space="preserve"> The option premium is not equivalent to the futures performance bond; the buyer's generally premium-limited downside does not apply symmetrically to an option writer.</w:t>
      </w:r>
    </w:p>
    <w:p>
      <w:pPr>
        <w:pStyle w:val="Heading2"/>
      </w:pPr>
      <w:r>
        <w:t>B02-S37  |  Slide 37  —  Contract checklist before BUY or SELL</w:t>
      </w:r>
    </w:p>
    <w:p>
      <w:pPr>
        <w:pStyle w:val="SmallMuted"/>
        <w:keepNext w:val="0"/>
      </w:pPr>
      <w:r>
        <w:t>TOPIC EXECUTION AND OPERATIONAL CONTROL.</w:t>
      </w:r>
    </w:p>
    <w:p>
      <w:pPr>
        <w:keepLines/>
      </w:pPr>
      <w:r>
        <w:rPr>
          <w:b/>
        </w:rPr>
        <w:t>Source essence:</w:t>
      </w:r>
      <w:r>
        <w:t xml:space="preserve"> Four checks: </w:t>
      </w:r>
      <w:r>
        <w:rPr>
          <w:b/>
        </w:rPr>
        <w:t>Exposure:</w:t>
      </w:r>
      <w:r>
        <w:t xml:space="preserve"> underlying, market, grade, base currency and multiplier. </w:t>
      </w:r>
      <w:r>
        <w:rPr>
          <w:b/>
        </w:rPr>
        <w:t>Order:</w:t>
      </w:r>
      <w:r>
        <w:t xml:space="preserve"> market versus limit, tick, fees and liquid hours. </w:t>
      </w:r>
      <w:r>
        <w:rPr>
          <w:b/>
        </w:rPr>
        <w:t>Margin:</w:t>
      </w:r>
      <w:r>
        <w:t xml:space="preserve"> initial/maintenance, stressed cash calls and spare collateral. </w:t>
      </w:r>
      <w:r>
        <w:rPr>
          <w:b/>
        </w:rPr>
        <w:t>Exit:</w:t>
      </w:r>
      <w:r>
        <w:t xml:space="preserve"> same-expiry offset, roll or permitted delivery.</w:t>
      </w:r>
    </w:p>
    <w:p>
      <w:pPr>
        <w:keepLines/>
      </w:pPr>
      <w:r>
        <w:rPr>
          <w:b/>
        </w:rPr>
        <w:t>Concept / explanation:</w:t>
      </w:r>
      <w:r>
        <w:t xml:space="preserve"> A sound forecast does not overcome a missing or wrong instrument specification. Contract size and tick error flow directly into P&amp;L and VaR; lack of margin buffer can force liquidation despite a longer-term signal.</w:t>
      </w:r>
    </w:p>
    <w:p>
      <w:pPr>
        <w:keepLines/>
      </w:pPr>
      <w:r>
        <w:rPr>
          <w:b/>
        </w:rPr>
        <w:t>QuantEdge application:</w:t>
      </w:r>
      <w:r>
        <w:t xml:space="preserve"> Introduce a pre-trade instrument-validation checklist and reject positions failing contract, data, financing or execution checks.</w:t>
      </w:r>
    </w:p>
    <w:p>
      <w:pPr>
        <w:keepLines/>
      </w:pPr>
      <w:r>
        <w:rPr>
          <w:b/>
        </w:rPr>
        <w:t>Critical caution:</w:t>
      </w:r>
      <w:r>
        <w:t xml:space="preserve"> Use current exchange/broker product terms for implementable trades; slide figures are not live contract specifications.</w:t>
      </w:r>
    </w:p>
    <w:p>
      <w:pPr>
        <w:pStyle w:val="Heading2"/>
      </w:pPr>
      <w:r>
        <w:t>B02-S38  |  Slide 38  —  Commodity derivatives — participant motives</w:t>
      </w:r>
    </w:p>
    <w:p>
      <w:pPr>
        <w:pStyle w:val="SmallMuted"/>
        <w:keepNext w:val="0"/>
      </w:pPr>
      <w:r>
        <w:t>TOPIC HEDGE VERSUS SPECULATIVE EXPOSURE.</w:t>
      </w:r>
    </w:p>
    <w:p>
      <w:pPr>
        <w:keepLines/>
      </w:pPr>
      <w:r>
        <w:rPr>
          <w:b/>
        </w:rPr>
        <w:t>Source essence:</w:t>
      </w:r>
      <w:r>
        <w:t xml:space="preserve"> </w:t>
      </w:r>
      <w:r>
        <w:rPr>
          <w:b/>
        </w:rPr>
        <w:t>Producer:</w:t>
      </w:r>
      <w:r>
        <w:t xml:space="preserve"> short oil futures to stabilize revenue when prices fall. </w:t>
      </w:r>
      <w:r>
        <w:rPr>
          <w:b/>
        </w:rPr>
        <w:t>Airline/refiner:</w:t>
      </w:r>
      <w:r>
        <w:t xml:space="preserve"> long relevant energy derivatives to reduce rising input-cost exposure. </w:t>
      </w:r>
      <w:r>
        <w:rPr>
          <w:b/>
        </w:rPr>
        <w:t>Portfolio manager:</w:t>
      </w:r>
      <w:r>
        <w:t xml:space="preserve"> long/short for tactical exposure and diversification. </w:t>
      </w:r>
      <w:r>
        <w:rPr>
          <w:b/>
        </w:rPr>
        <w:t>Relative-value trader:</w:t>
      </w:r>
      <w:r>
        <w:t xml:space="preserve"> trades crack spreads, calendar spreads or commodity basis.</w:t>
      </w:r>
    </w:p>
    <w:p>
      <w:pPr>
        <w:keepLines/>
      </w:pPr>
      <w:r>
        <w:rPr>
          <w:b/>
        </w:rPr>
        <w:t>Concept / explanation:</w:t>
      </w:r>
      <w:r>
        <w:t xml:space="preserve"> The same futures contract can decrease an existing physical risk or add speculative risk depending on the holder's original exposure. Hedging effectiveness depends on commodity grade, delivery location, maturity, hedge ratio and the relationship between the futures and cash markets.</w:t>
      </w:r>
    </w:p>
    <w:p>
      <w:pPr>
        <w:keepLines/>
      </w:pPr>
      <w:r>
        <w:rPr>
          <w:b/>
        </w:rPr>
        <w:t>QuantEdge application:</w:t>
      </w:r>
      <w:r>
        <w:t xml:space="preserve"> State the purpose of each commodity trade and document the exposure it offsets or adds; include stress changes in the basis relationship.</w:t>
      </w:r>
    </w:p>
    <w:p>
      <w:pPr>
        <w:keepLines/>
      </w:pPr>
      <w:r>
        <w:rPr>
          <w:b/>
        </w:rPr>
        <w:t>Critical caution:</w:t>
      </w:r>
      <w:r>
        <w:t xml:space="preserve"> Crude is an imperfect hedge for jet fuel. A futures gain or loss should not be judged without the economic cash transaction being hedged.</w:t>
      </w:r>
    </w:p>
    <w:p>
      <w:pPr>
        <w:pStyle w:val="Heading2"/>
      </w:pPr>
      <w:r>
        <w:t>B02-S39  |  Slide 39  —  Sri Lankan importer — USD payable</w:t>
      </w:r>
    </w:p>
    <w:p>
      <w:pPr>
        <w:pStyle w:val="SmallMuted"/>
        <w:keepNext w:val="0"/>
      </w:pPr>
      <w:r>
        <w:t>TOPIC FOREIGN EXCHANGE FORWARD HEDGE.</w:t>
      </w:r>
    </w:p>
    <w:p>
      <w:pPr>
        <w:keepLines/>
      </w:pPr>
      <w:r>
        <w:rPr>
          <w:b/>
        </w:rPr>
        <w:t>Source essence:</w:t>
      </w:r>
      <w:r>
        <w:t xml:space="preserve"> A Sri Lankan importer has a USD 1,000,000 bill payable in six months. If the rupee depreciates, the same dollar bill costs more LKR. Buying USD forward from a bank can lock an agreed future exchange rate and reduce cash-outflow uncertainty.</w:t>
      </w:r>
    </w:p>
    <w:p>
      <w:pPr>
        <w:keepLines/>
      </w:pPr>
      <w:r>
        <w:rPr>
          <w:b/>
        </w:rPr>
        <w:t>Concept / explanation:</w:t>
      </w:r>
      <w:r>
        <w:t xml:space="preserve"> The OTC forward is a bilateral bank contract, not automatically a locally listed future. The contracted forward rate can differ from today's spot due to interest-rate differential and FX basis; bank credit, settlement and matching of notional and maturity matter.</w:t>
      </w:r>
    </w:p>
    <w:p>
      <w:pPr>
        <w:keepLines/>
      </w:pPr>
      <w:r>
        <w:rPr>
          <w:b/>
        </w:rPr>
        <w:t>QuantEdge application:</w:t>
      </w:r>
      <w:r>
        <w:t xml:space="preserve"> If an eligible foreign-currency exposure exists, measure its risk in the investor's base currency and evaluate hedging only if such FX derivatives are actually authorized/available.</w:t>
      </w:r>
    </w:p>
    <w:p>
      <w:pPr>
        <w:keepLines/>
      </w:pPr>
      <w:r>
        <w:rPr>
          <w:b/>
        </w:rPr>
        <w:t>Critical caution:</w:t>
      </w:r>
      <w:r>
        <w:t xml:space="preserve"> Exact product eligibility, market access and regulations in Sri Lanka must be verified externally. This slide describes a hedging example, not evidence that a particular local exchange-traded instrument is available.</w:t>
      </w:r>
    </w:p>
    <w:p>
      <w:pPr>
        <w:pStyle w:val="Heading2"/>
      </w:pPr>
      <w:r>
        <w:t>B02-S40  |  Slide 40  —  Interest-rate swaps — protecting financing costs</w:t>
      </w:r>
    </w:p>
    <w:p>
      <w:pPr>
        <w:pStyle w:val="SmallMuted"/>
        <w:keepNext w:val="0"/>
      </w:pPr>
      <w:r>
        <w:t>TOPIC PAY-FIXED/RECEIVE-FLOATING HEDGE.</w:t>
      </w:r>
    </w:p>
    <w:p>
      <w:pPr>
        <w:keepLines/>
      </w:pPr>
      <w:r>
        <w:rPr>
          <w:b/>
        </w:rPr>
        <w:t>Source essence:</w:t>
      </w:r>
      <w:r>
        <w:t xml:space="preserve"> A borrower with floating-rate debt pays reference rate plus spread. Rising rates increase interest expense. A swap under which the borrower </w:t>
      </w:r>
      <w:r>
        <w:rPr>
          <w:b/>
        </w:rPr>
        <w:t>pays fixed and receives floating</w:t>
      </w:r>
      <w:r>
        <w:t xml:space="preserve"> can partially offset the variable borrowing payment and make cash debt service more predictable.</w:t>
      </w:r>
    </w:p>
    <w:p>
      <w:pPr>
        <w:keepLines/>
      </w:pPr>
      <w:r>
        <w:rPr>
          <w:b/>
        </w:rPr>
        <w:t>Concept / explanation:</w:t>
      </w:r>
      <w:r>
        <w:t xml:space="preserve"> The fixed swap payment replaces the floating exposure only to the extent that the debt and swap reference index, reset dates, notional and settlement actually match. Residual basis, counterparty and collateral risks remain.</w:t>
      </w:r>
    </w:p>
    <w:p>
      <w:pPr>
        <w:keepLines/>
      </w:pPr>
      <w:r>
        <w:rPr>
          <w:b/>
        </w:rPr>
        <w:t>QuantEdge application:</w:t>
      </w:r>
      <w:r>
        <w:t xml:space="preserve"> When assessing interest-rate exposure, distinguish underlying bond price risk from any eligible derivative hedge; document swap cash-flow matching and residual risk if one is proposed.</w:t>
      </w:r>
    </w:p>
    <w:p>
      <w:pPr>
        <w:keepLines/>
      </w:pPr>
      <w:r>
        <w:rPr>
          <w:b/>
        </w:rPr>
        <w:t>Critical caution:</w:t>
      </w:r>
      <w:r>
        <w:t xml:space="preserve"> A swap is not necessarily an outright return-seeking holding, and the lecture does not make swaps mandatory or eligible for QuantEdge.</w:t>
      </w:r>
    </w:p>
    <w:p>
      <w:pPr>
        <w:pStyle w:val="Heading1"/>
      </w:pPr>
      <w:r>
        <w:t>Formulas, ledgers and decision references</w:t>
      </w:r>
    </w:p>
    <w:p>
      <w:pPr>
        <w:pStyle w:val="Heading3"/>
        <w:keepNext/>
      </w:pPr>
      <w:r>
        <w:t>Futures price and return accounting</w:t>
      </w:r>
    </w:p>
    <w:p>
      <w:pPr>
        <w:pStyle w:val="ListBullet"/>
        <w:spacing w:after="60" w:line="259" w:lineRule="auto"/>
      </w:pPr>
      <w:r>
        <w:rPr>
          <w:b/>
        </w:rPr>
        <w:t>Signed futures P&amp;L (slides 27–28, 34):</w:t>
      </w:r>
      <w:r>
        <w:t xml:space="preserve"> </w:t>
      </w:r>
      <w:r>
        <w:rPr>
          <w:rFonts w:ascii="Consolas" w:hAnsi="Consolas"/>
          <w:color w:val="135476"/>
          <w:sz w:val="17"/>
        </w:rPr>
        <w:t>P&amp;L = N × M × (F_close − F_entry)</w:t>
      </w:r>
      <w:r>
        <w:t xml:space="preserve">, with </w:t>
      </w:r>
      <w:r>
        <w:rPr>
          <w:rFonts w:ascii="Consolas" w:hAnsi="Consolas"/>
          <w:color w:val="135476"/>
          <w:sz w:val="17"/>
        </w:rPr>
        <w:t>N &gt; 0</w:t>
      </w:r>
      <w:r>
        <w:t xml:space="preserve"> long and </w:t>
      </w:r>
      <w:r>
        <w:rPr>
          <w:rFonts w:ascii="Consolas" w:hAnsi="Consolas"/>
          <w:color w:val="135476"/>
          <w:sz w:val="17"/>
        </w:rPr>
        <w:t>N &lt; 0</w:t>
      </w:r>
      <w:r>
        <w:t xml:space="preserve"> short; report in the price quote's currency after respecting contract-unit conventions. In its simple form, the equation excludes fees/funding.</w:t>
      </w:r>
    </w:p>
    <w:p>
      <w:pPr>
        <w:pStyle w:val="ListBullet"/>
        <w:spacing w:after="60" w:line="259" w:lineRule="auto"/>
      </w:pPr>
      <w:r>
        <w:rPr>
          <w:b/>
        </w:rPr>
        <w:t>Daily settlement relationship (slides 28, 30–31):</w:t>
      </w:r>
      <w:r>
        <w:t xml:space="preserve"> </w:t>
      </w:r>
      <w:r>
        <w:rPr>
          <w:rFonts w:ascii="Consolas" w:hAnsi="Consolas"/>
          <w:color w:val="135476"/>
          <w:sz w:val="17"/>
        </w:rPr>
        <w:t>daily variation P&amp;L = N × M × (F_t − F_{t−1})</w:t>
      </w:r>
      <w:r>
        <w:t>; cumulative variation for an unchanged position sums to entry-to-exit P&amp;L (before costs).</w:t>
      </w:r>
    </w:p>
    <w:p>
      <w:pPr>
        <w:pStyle w:val="ListBullet"/>
        <w:spacing w:after="60" w:line="259" w:lineRule="auto"/>
      </w:pPr>
      <w:r>
        <w:rPr>
          <w:b/>
        </w:rPr>
        <w:t>Gold example (slide 27):</w:t>
      </w:r>
      <w:r>
        <w:t xml:space="preserve"> Entry $2,400/oz; contract size 100 oz. Exit $2,415 → long +$1,500, short −$1,500; exit $2,375 → long −$2,500, short +$2,500.</w:t>
      </w:r>
    </w:p>
    <w:p>
      <w:pPr>
        <w:pStyle w:val="ListBullet"/>
        <w:spacing w:after="60" w:line="259" w:lineRule="auto"/>
      </w:pPr>
      <w:r>
        <w:rPr>
          <w:b/>
        </w:rPr>
        <w:t>Coffee-exporter example (slide 34):</w:t>
      </w:r>
      <w:r>
        <w:t xml:space="preserve"> N = −10; M = 1,000; F_entry = $215; F_close = $225; futures P&amp;L = −$100,000. Evaluate alongside the exporter’s physical revenue and basis.</w:t>
      </w:r>
    </w:p>
    <w:p>
      <w:pPr>
        <w:pStyle w:val="Heading3"/>
        <w:keepNext/>
      </w:pPr>
      <w:r>
        <w:t>Hypothetical futures collateral ledger (slides 30–32)</w:t>
      </w:r>
    </w:p>
    <w:tbl>
      <w:tblPr>
        <w:tblStyle w:val="TableGrid"/>
        <w:tblW w:type="auto" w:w="0"/>
        <w:jc w:val="center"/>
        <w:tblLayout w:type="fixed"/>
        <w:tblLook w:firstColumn="1" w:firstRow="1" w:lastColumn="0" w:lastRow="0" w:noHBand="0" w:noVBand="1" w:val="04A0"/>
      </w:tblPr>
      <w:tblGrid>
        <w:gridCol w:w="1898"/>
        <w:gridCol w:w="1898"/>
        <w:gridCol w:w="1898"/>
        <w:gridCol w:w="1898"/>
        <w:gridCol w:w="1898"/>
      </w:tblGrid>
      <w:tr>
        <w:trPr>
          <w:cantSplit/>
          <w:tblHeader w:val="true"/>
        </w:trPr>
        <w:tc>
          <w:tcPr>
            <w:tcW w:type="dxa" w:w="1368"/>
            <w:vAlign w:val="center"/>
            <w:shd w:fill="173B57"/>
          </w:tcPr>
          <w:p>
            <w:pPr>
              <w:spacing w:after="0" w:before="0" w:line="259" w:lineRule="auto"/>
            </w:pPr>
            <w:r>
              <w:rPr>
                <w:b/>
                <w:color w:val="FFFFFF"/>
                <w:sz w:val="16"/>
              </w:rPr>
            </w:r>
            <w:r>
              <w:rPr>
                <w:b/>
                <w:color w:val="FFFFFF"/>
                <w:sz w:val="16"/>
              </w:rPr>
              <w:t>Event</w:t>
            </w:r>
          </w:p>
        </w:tc>
        <w:tc>
          <w:tcPr>
            <w:tcW w:type="dxa" w:w="1469"/>
            <w:vAlign w:val="center"/>
            <w:shd w:fill="173B57"/>
          </w:tcPr>
          <w:p>
            <w:pPr>
              <w:spacing w:after="0" w:before="0" w:line="259" w:lineRule="auto"/>
            </w:pPr>
            <w:r>
              <w:rPr>
                <w:b/>
                <w:color w:val="FFFFFF"/>
                <w:sz w:val="16"/>
              </w:rPr>
            </w:r>
            <w:r>
              <w:rPr>
                <w:b/>
                <w:color w:val="FFFFFF"/>
                <w:sz w:val="16"/>
              </w:rPr>
              <w:t>Futures price</w:t>
            </w:r>
          </w:p>
        </w:tc>
        <w:tc>
          <w:tcPr>
            <w:tcW w:type="dxa" w:w="1584"/>
            <w:vAlign w:val="center"/>
            <w:shd w:fill="173B57"/>
          </w:tcPr>
          <w:p>
            <w:pPr>
              <w:spacing w:after="0" w:before="0" w:line="259" w:lineRule="auto"/>
            </w:pPr>
            <w:r>
              <w:rPr>
                <w:b/>
                <w:color w:val="FFFFFF"/>
                <w:sz w:val="16"/>
              </w:rPr>
            </w:r>
            <w:r>
              <w:rPr>
                <w:b/>
                <w:color w:val="FFFFFF"/>
                <w:sz w:val="16"/>
              </w:rPr>
              <w:t>P&amp;L or external funding</w:t>
            </w:r>
          </w:p>
        </w:tc>
        <w:tc>
          <w:tcPr>
            <w:tcW w:type="dxa" w:w="1440"/>
            <w:vAlign w:val="center"/>
            <w:shd w:fill="173B57"/>
          </w:tcPr>
          <w:p>
            <w:pPr>
              <w:spacing w:after="0" w:before="0" w:line="259" w:lineRule="auto"/>
            </w:pPr>
            <w:r>
              <w:rPr>
                <w:b/>
                <w:color w:val="FFFFFF"/>
                <w:sz w:val="16"/>
              </w:rPr>
            </w:r>
            <w:r>
              <w:rPr>
                <w:b/>
                <w:color w:val="FFFFFF"/>
                <w:sz w:val="16"/>
              </w:rPr>
              <w:t>Margin account equity</w:t>
            </w:r>
          </w:p>
        </w:tc>
        <w:tc>
          <w:tcPr>
            <w:tcW w:type="dxa" w:w="3614"/>
            <w:vAlign w:val="center"/>
            <w:shd w:fill="173B57"/>
          </w:tcPr>
          <w:p>
            <w:pPr>
              <w:spacing w:after="0" w:before="0" w:line="259" w:lineRule="auto"/>
            </w:pPr>
            <w:r>
              <w:rPr>
                <w:b/>
                <w:color w:val="FFFFFF"/>
                <w:sz w:val="16"/>
              </w:rPr>
            </w:r>
            <w:r>
              <w:rPr>
                <w:b/>
                <w:color w:val="FFFFFF"/>
                <w:sz w:val="16"/>
              </w:rPr>
              <w:t>Meaning</w:t>
            </w:r>
          </w:p>
        </w:tc>
      </w:tr>
      <w:tr>
        <w:trPr>
          <w:cantSplit/>
        </w:trPr>
        <w:tc>
          <w:tcPr>
            <w:tcW w:type="dxa" w:w="1368"/>
            <w:vAlign w:val="center"/>
          </w:tcPr>
          <w:p>
            <w:pPr>
              <w:spacing w:after="0" w:before="0" w:line="259" w:lineRule="auto"/>
            </w:pPr>
            <w:r>
              <w:rPr>
                <w:color w:val="15283D"/>
                <w:sz w:val="16"/>
              </w:rPr>
            </w:r>
            <w:r>
              <w:rPr>
                <w:color w:val="15283D"/>
                <w:sz w:val="16"/>
              </w:rPr>
              <w:t>Entry</w:t>
            </w:r>
          </w:p>
        </w:tc>
        <w:tc>
          <w:tcPr>
            <w:tcW w:type="dxa" w:w="1469"/>
            <w:vAlign w:val="center"/>
          </w:tcPr>
          <w:p>
            <w:pPr>
              <w:spacing w:after="0" w:before="0" w:line="259" w:lineRule="auto"/>
            </w:pPr>
            <w:r>
              <w:rPr>
                <w:color w:val="15283D"/>
                <w:sz w:val="16"/>
              </w:rPr>
            </w:r>
            <w:r>
              <w:rPr>
                <w:color w:val="15283D"/>
                <w:sz w:val="16"/>
              </w:rPr>
              <w:t>$2,400/oz</w:t>
            </w:r>
          </w:p>
        </w:tc>
        <w:tc>
          <w:tcPr>
            <w:tcW w:type="dxa" w:w="1584"/>
            <w:vAlign w:val="center"/>
          </w:tcPr>
          <w:p>
            <w:pPr>
              <w:spacing w:after="0" w:before="0" w:line="259" w:lineRule="auto"/>
            </w:pPr>
            <w:r>
              <w:rPr>
                <w:color w:val="15283D"/>
                <w:sz w:val="16"/>
              </w:rPr>
            </w:r>
            <w:r>
              <w:rPr>
                <w:color w:val="15283D"/>
                <w:sz w:val="16"/>
              </w:rPr>
              <w:t>—</w:t>
            </w:r>
          </w:p>
        </w:tc>
        <w:tc>
          <w:tcPr>
            <w:tcW w:type="dxa" w:w="1440"/>
            <w:vAlign w:val="center"/>
          </w:tcPr>
          <w:p>
            <w:pPr>
              <w:spacing w:after="0" w:before="0" w:line="259" w:lineRule="auto"/>
            </w:pPr>
            <w:r>
              <w:rPr>
                <w:color w:val="15283D"/>
                <w:sz w:val="16"/>
              </w:rPr>
            </w:r>
            <w:r>
              <w:rPr>
                <w:color w:val="15283D"/>
                <w:sz w:val="16"/>
              </w:rPr>
              <w:t>$12,000</w:t>
            </w:r>
          </w:p>
        </w:tc>
        <w:tc>
          <w:tcPr>
            <w:tcW w:type="dxa" w:w="3614"/>
            <w:vAlign w:val="center"/>
          </w:tcPr>
          <w:p>
            <w:pPr>
              <w:spacing w:after="0" w:before="0" w:line="259" w:lineRule="auto"/>
            </w:pPr>
            <w:r>
              <w:rPr>
                <w:color w:val="15283D"/>
                <w:sz w:val="16"/>
              </w:rPr>
            </w:r>
            <w:r>
              <w:rPr>
                <w:color w:val="15283D"/>
                <w:sz w:val="16"/>
              </w:rPr>
              <w:t>Post collateral; initial notional ~$240,000</w:t>
            </w:r>
          </w:p>
        </w:tc>
      </w:tr>
      <w:tr>
        <w:trPr>
          <w:cantSplit/>
        </w:trPr>
        <w:tc>
          <w:tcPr>
            <w:tcW w:type="dxa" w:w="1368"/>
            <w:vAlign w:val="center"/>
            <w:shd w:fill="F0F4F7"/>
          </w:tcPr>
          <w:p>
            <w:pPr>
              <w:spacing w:after="0" w:before="0" w:line="259" w:lineRule="auto"/>
            </w:pPr>
            <w:r>
              <w:rPr>
                <w:color w:val="15283D"/>
                <w:sz w:val="16"/>
              </w:rPr>
            </w:r>
            <w:r>
              <w:rPr>
                <w:color w:val="15283D"/>
                <w:sz w:val="16"/>
              </w:rPr>
              <w:t>Day 1</w:t>
            </w:r>
          </w:p>
        </w:tc>
        <w:tc>
          <w:tcPr>
            <w:tcW w:type="dxa" w:w="1469"/>
            <w:vAlign w:val="center"/>
            <w:shd w:fill="F0F4F7"/>
          </w:tcPr>
          <w:p>
            <w:pPr>
              <w:spacing w:after="0" w:before="0" w:line="259" w:lineRule="auto"/>
            </w:pPr>
            <w:r>
              <w:rPr>
                <w:color w:val="15283D"/>
                <w:sz w:val="16"/>
              </w:rPr>
            </w:r>
            <w:r>
              <w:rPr>
                <w:color w:val="15283D"/>
                <w:sz w:val="16"/>
              </w:rPr>
              <w:t>$2,415/oz</w:t>
            </w:r>
          </w:p>
        </w:tc>
        <w:tc>
          <w:tcPr>
            <w:tcW w:type="dxa" w:w="1584"/>
            <w:vAlign w:val="center"/>
            <w:shd w:fill="F0F4F7"/>
          </w:tcPr>
          <w:p>
            <w:pPr>
              <w:spacing w:after="0" w:before="0" w:line="259" w:lineRule="auto"/>
            </w:pPr>
            <w:r>
              <w:rPr>
                <w:color w:val="15283D"/>
                <w:sz w:val="16"/>
              </w:rPr>
            </w:r>
            <w:r>
              <w:rPr>
                <w:color w:val="15283D"/>
                <w:sz w:val="16"/>
              </w:rPr>
              <w:t>+$1,500</w:t>
            </w:r>
          </w:p>
        </w:tc>
        <w:tc>
          <w:tcPr>
            <w:tcW w:type="dxa" w:w="1440"/>
            <w:vAlign w:val="center"/>
            <w:shd w:fill="F0F4F7"/>
          </w:tcPr>
          <w:p>
            <w:pPr>
              <w:spacing w:after="0" w:before="0" w:line="259" w:lineRule="auto"/>
            </w:pPr>
            <w:r>
              <w:rPr>
                <w:color w:val="15283D"/>
                <w:sz w:val="16"/>
              </w:rPr>
            </w:r>
            <w:r>
              <w:rPr>
                <w:color w:val="15283D"/>
                <w:sz w:val="16"/>
              </w:rPr>
              <w:t>$13,500</w:t>
            </w:r>
          </w:p>
        </w:tc>
        <w:tc>
          <w:tcPr>
            <w:tcW w:type="dxa" w:w="3614"/>
            <w:vAlign w:val="center"/>
            <w:shd w:fill="F0F4F7"/>
          </w:tcPr>
          <w:p>
            <w:pPr>
              <w:spacing w:after="0" w:before="0" w:line="259" w:lineRule="auto"/>
            </w:pPr>
            <w:r>
              <w:rPr>
                <w:color w:val="15283D"/>
                <w:sz w:val="16"/>
              </w:rPr>
            </w:r>
            <w:r>
              <w:rPr>
                <w:color w:val="15283D"/>
                <w:sz w:val="16"/>
              </w:rPr>
              <w:t>No margin call in example</w:t>
            </w:r>
          </w:p>
        </w:tc>
      </w:tr>
      <w:tr>
        <w:trPr>
          <w:cantSplit/>
        </w:trPr>
        <w:tc>
          <w:tcPr>
            <w:tcW w:type="dxa" w:w="1368"/>
            <w:vAlign w:val="center"/>
          </w:tcPr>
          <w:p>
            <w:pPr>
              <w:spacing w:after="0" w:before="0" w:line="259" w:lineRule="auto"/>
            </w:pPr>
            <w:r>
              <w:rPr>
                <w:color w:val="15283D"/>
                <w:sz w:val="16"/>
              </w:rPr>
            </w:r>
            <w:r>
              <w:rPr>
                <w:color w:val="15283D"/>
                <w:sz w:val="16"/>
              </w:rPr>
              <w:t>Day 2</w:t>
            </w:r>
          </w:p>
        </w:tc>
        <w:tc>
          <w:tcPr>
            <w:tcW w:type="dxa" w:w="1469"/>
            <w:vAlign w:val="center"/>
          </w:tcPr>
          <w:p>
            <w:pPr>
              <w:spacing w:after="0" w:before="0" w:line="259" w:lineRule="auto"/>
            </w:pPr>
            <w:r>
              <w:rPr>
                <w:color w:val="15283D"/>
                <w:sz w:val="16"/>
              </w:rPr>
            </w:r>
            <w:r>
              <w:rPr>
                <w:color w:val="15283D"/>
                <w:sz w:val="16"/>
              </w:rPr>
              <w:t>$2,375/oz</w:t>
            </w:r>
          </w:p>
        </w:tc>
        <w:tc>
          <w:tcPr>
            <w:tcW w:type="dxa" w:w="1584"/>
            <w:vAlign w:val="center"/>
          </w:tcPr>
          <w:p>
            <w:pPr>
              <w:spacing w:after="0" w:before="0" w:line="259" w:lineRule="auto"/>
            </w:pPr>
            <w:r>
              <w:rPr>
                <w:color w:val="15283D"/>
                <w:sz w:val="16"/>
              </w:rPr>
            </w:r>
            <w:r>
              <w:rPr>
                <w:color w:val="15283D"/>
                <w:sz w:val="16"/>
              </w:rPr>
              <w:t>−$4,000</w:t>
            </w:r>
          </w:p>
        </w:tc>
        <w:tc>
          <w:tcPr>
            <w:tcW w:type="dxa" w:w="1440"/>
            <w:vAlign w:val="center"/>
          </w:tcPr>
          <w:p>
            <w:pPr>
              <w:spacing w:after="0" w:before="0" w:line="259" w:lineRule="auto"/>
            </w:pPr>
            <w:r>
              <w:rPr>
                <w:color w:val="15283D"/>
                <w:sz w:val="16"/>
              </w:rPr>
            </w:r>
            <w:r>
              <w:rPr>
                <w:color w:val="15283D"/>
                <w:sz w:val="16"/>
              </w:rPr>
              <w:t>$9,500</w:t>
            </w:r>
          </w:p>
        </w:tc>
        <w:tc>
          <w:tcPr>
            <w:tcW w:type="dxa" w:w="3614"/>
            <w:vAlign w:val="center"/>
          </w:tcPr>
          <w:p>
            <w:pPr>
              <w:spacing w:after="0" w:before="0" w:line="259" w:lineRule="auto"/>
            </w:pPr>
            <w:r>
              <w:rPr>
                <w:color w:val="15283D"/>
                <w:sz w:val="16"/>
              </w:rPr>
            </w:r>
            <w:r>
              <w:rPr>
                <w:color w:val="15283D"/>
                <w:sz w:val="16"/>
              </w:rPr>
              <w:t>Below $10,000 maintenance</w:t>
            </w:r>
          </w:p>
        </w:tc>
      </w:tr>
      <w:tr>
        <w:trPr>
          <w:cantSplit/>
        </w:trPr>
        <w:tc>
          <w:tcPr>
            <w:tcW w:type="dxa" w:w="1368"/>
            <w:vAlign w:val="center"/>
            <w:shd w:fill="F0F4F7"/>
          </w:tcPr>
          <w:p>
            <w:pPr>
              <w:spacing w:after="0" w:before="0" w:line="259" w:lineRule="auto"/>
            </w:pPr>
            <w:r>
              <w:rPr>
                <w:color w:val="15283D"/>
                <w:sz w:val="16"/>
              </w:rPr>
            </w:r>
            <w:r>
              <w:rPr>
                <w:color w:val="15283D"/>
                <w:sz w:val="16"/>
              </w:rPr>
              <w:t>Deposit</w:t>
            </w:r>
          </w:p>
        </w:tc>
        <w:tc>
          <w:tcPr>
            <w:tcW w:type="dxa" w:w="1469"/>
            <w:vAlign w:val="center"/>
            <w:shd w:fill="F0F4F7"/>
          </w:tcPr>
          <w:p>
            <w:pPr>
              <w:spacing w:after="0" w:before="0" w:line="259" w:lineRule="auto"/>
            </w:pPr>
            <w:r>
              <w:rPr>
                <w:color w:val="15283D"/>
                <w:sz w:val="16"/>
              </w:rPr>
            </w:r>
            <w:r>
              <w:rPr>
                <w:color w:val="15283D"/>
                <w:sz w:val="16"/>
              </w:rPr>
              <w:t>—</w:t>
            </w:r>
          </w:p>
        </w:tc>
        <w:tc>
          <w:tcPr>
            <w:tcW w:type="dxa" w:w="1584"/>
            <w:vAlign w:val="center"/>
            <w:shd w:fill="F0F4F7"/>
          </w:tcPr>
          <w:p>
            <w:pPr>
              <w:spacing w:after="0" w:before="0" w:line="259" w:lineRule="auto"/>
            </w:pPr>
            <w:r>
              <w:rPr>
                <w:color w:val="15283D"/>
                <w:sz w:val="16"/>
              </w:rPr>
            </w:r>
            <w:r>
              <w:rPr>
                <w:color w:val="15283D"/>
                <w:sz w:val="16"/>
              </w:rPr>
              <w:t xml:space="preserve">+$2,500 </w:t>
            </w:r>
            <w:r>
              <w:rPr>
                <w:b/>
                <w:color w:val="15283D"/>
                <w:sz w:val="16"/>
              </w:rPr>
              <w:t>external funding</w:t>
            </w:r>
          </w:p>
        </w:tc>
        <w:tc>
          <w:tcPr>
            <w:tcW w:type="dxa" w:w="1440"/>
            <w:vAlign w:val="center"/>
            <w:shd w:fill="F0F4F7"/>
          </w:tcPr>
          <w:p>
            <w:pPr>
              <w:spacing w:after="0" w:before="0" w:line="259" w:lineRule="auto"/>
            </w:pPr>
            <w:r>
              <w:rPr>
                <w:color w:val="15283D"/>
                <w:sz w:val="16"/>
              </w:rPr>
            </w:r>
            <w:r>
              <w:rPr>
                <w:color w:val="15283D"/>
                <w:sz w:val="16"/>
              </w:rPr>
              <w:t>$12,000</w:t>
            </w:r>
          </w:p>
        </w:tc>
        <w:tc>
          <w:tcPr>
            <w:tcW w:type="dxa" w:w="3614"/>
            <w:vAlign w:val="center"/>
            <w:shd w:fill="F0F4F7"/>
          </w:tcPr>
          <w:p>
            <w:pPr>
              <w:spacing w:after="0" w:before="0" w:line="259" w:lineRule="auto"/>
            </w:pPr>
            <w:r>
              <w:rPr>
                <w:color w:val="15283D"/>
                <w:sz w:val="16"/>
              </w:rPr>
            </w:r>
            <w:r>
              <w:rPr>
                <w:color w:val="15283D"/>
                <w:sz w:val="16"/>
              </w:rPr>
              <w:t>Restore illustrative initial balance</w:t>
            </w:r>
          </w:p>
        </w:tc>
      </w:tr>
    </w:tbl>
    <w:p>
      <w:pPr>
        <w:spacing w:after="0"/>
      </w:pPr>
    </w:p>
    <w:p>
      <w:pPr/>
      <w:r>
        <w:rPr>
          <w:b/>
        </w:rPr>
        <w:t>Reconciliation:</w:t>
      </w:r>
      <w:r>
        <w:t xml:space="preserve"> Trading P&amp;L = +$1,500 − $4,000 = </w:t>
      </w:r>
      <w:r>
        <w:rPr>
          <w:b/>
        </w:rPr>
        <w:t>−$2,500</w:t>
      </w:r>
      <w:r>
        <w:t>, regardless of the external $2,500 cash injection. The broker's actual margin rules may differ from this example.</w:t>
      </w:r>
    </w:p>
    <w:p>
      <w:pPr>
        <w:pStyle w:val="Heading3"/>
        <w:keepNext/>
      </w:pPr>
      <w:r>
        <w:t>Distinctions that must never be mixed</w:t>
      </w:r>
    </w:p>
    <w:tbl>
      <w:tblPr>
        <w:tblStyle w:val="TableGrid"/>
        <w:tblW w:type="auto" w:w="0"/>
        <w:jc w:val="center"/>
        <w:tblLayout w:type="fixed"/>
        <w:tblLook w:firstColumn="1" w:firstRow="1" w:lastColumn="0" w:lastRow="0" w:noHBand="0" w:noVBand="1" w:val="04A0"/>
      </w:tblPr>
      <w:tblGrid>
        <w:gridCol w:w="3163"/>
        <w:gridCol w:w="3163"/>
        <w:gridCol w:w="3163"/>
      </w:tblGrid>
      <w:tr>
        <w:trPr>
          <w:cantSplit/>
          <w:tblHeader w:val="true"/>
        </w:trPr>
        <w:tc>
          <w:tcPr>
            <w:tcW w:type="dxa" w:w="2678"/>
            <w:vAlign w:val="center"/>
            <w:shd w:fill="173B57"/>
          </w:tcPr>
          <w:p>
            <w:pPr>
              <w:spacing w:after="0" w:before="0" w:line="259" w:lineRule="auto"/>
            </w:pPr>
            <w:r>
              <w:rPr>
                <w:b/>
                <w:color w:val="FFFFFF"/>
                <w:sz w:val="16"/>
              </w:rPr>
            </w:r>
            <w:r>
              <w:rPr>
                <w:b/>
                <w:color w:val="FFFFFF"/>
                <w:sz w:val="16"/>
              </w:rPr>
              <w:t>Pair</w:t>
            </w:r>
          </w:p>
        </w:tc>
        <w:tc>
          <w:tcPr>
            <w:tcW w:type="dxa" w:w="5616"/>
            <w:vAlign w:val="center"/>
            <w:shd w:fill="173B57"/>
          </w:tcPr>
          <w:p>
            <w:pPr>
              <w:spacing w:after="0" w:before="0" w:line="259" w:lineRule="auto"/>
            </w:pPr>
            <w:r>
              <w:rPr>
                <w:b/>
                <w:color w:val="FFFFFF"/>
                <w:sz w:val="16"/>
              </w:rPr>
            </w:r>
            <w:r>
              <w:rPr>
                <w:b/>
                <w:color w:val="FFFFFF"/>
                <w:sz w:val="16"/>
              </w:rPr>
              <w:t>Correct distinction</w:t>
            </w:r>
          </w:p>
        </w:tc>
        <w:tc>
          <w:tcPr>
            <w:tcW w:type="dxa" w:w="1181"/>
            <w:vAlign w:val="center"/>
            <w:shd w:fill="173B57"/>
          </w:tcPr>
          <w:p>
            <w:pPr>
              <w:spacing w:after="0" w:before="0" w:line="259" w:lineRule="auto"/>
            </w:pPr>
            <w:r>
              <w:rPr>
                <w:b/>
                <w:color w:val="FFFFFF"/>
                <w:sz w:val="16"/>
              </w:rPr>
            </w:r>
            <w:r>
              <w:rPr>
                <w:b/>
                <w:color w:val="FFFFFF"/>
                <w:sz w:val="16"/>
              </w:rPr>
              <w:t>Slide(s)</w:t>
            </w:r>
          </w:p>
        </w:tc>
      </w:tr>
      <w:tr>
        <w:trPr>
          <w:cantSplit/>
        </w:trPr>
        <w:tc>
          <w:tcPr>
            <w:tcW w:type="dxa" w:w="2678"/>
            <w:vAlign w:val="center"/>
          </w:tcPr>
          <w:p>
            <w:pPr>
              <w:spacing w:after="0" w:before="0" w:line="259" w:lineRule="auto"/>
            </w:pPr>
            <w:r>
              <w:rPr>
                <w:color w:val="15283D"/>
                <w:sz w:val="16"/>
              </w:rPr>
            </w:r>
            <w:r>
              <w:rPr>
                <w:color w:val="15283D"/>
                <w:sz w:val="16"/>
              </w:rPr>
              <w:t>Today's term structure / historical contract path</w:t>
            </w:r>
          </w:p>
        </w:tc>
        <w:tc>
          <w:tcPr>
            <w:tcW w:type="dxa" w:w="5616"/>
            <w:vAlign w:val="center"/>
          </w:tcPr>
          <w:p>
            <w:pPr>
              <w:spacing w:after="0" w:before="0" w:line="259" w:lineRule="auto"/>
            </w:pPr>
            <w:r>
              <w:rPr>
                <w:color w:val="15283D"/>
                <w:sz w:val="16"/>
              </w:rPr>
            </w:r>
            <w:r>
              <w:rPr>
                <w:color w:val="15283D"/>
                <w:sz w:val="16"/>
              </w:rPr>
              <w:t>Maturity remaining on x-axis / elapsed time on x-axis</w:t>
            </w:r>
          </w:p>
        </w:tc>
        <w:tc>
          <w:tcPr>
            <w:tcW w:type="dxa" w:w="1181"/>
            <w:vAlign w:val="center"/>
          </w:tcPr>
          <w:p>
            <w:pPr>
              <w:spacing w:after="0" w:before="0" w:line="259" w:lineRule="auto"/>
            </w:pPr>
            <w:r>
              <w:rPr>
                <w:color w:val="15283D"/>
                <w:sz w:val="16"/>
              </w:rPr>
            </w:r>
            <w:r>
              <w:rPr>
                <w:color w:val="15283D"/>
                <w:sz w:val="16"/>
              </w:rPr>
              <w:t>21</w:t>
            </w:r>
          </w:p>
        </w:tc>
      </w:tr>
      <w:tr>
        <w:trPr>
          <w:cantSplit/>
        </w:trPr>
        <w:tc>
          <w:tcPr>
            <w:tcW w:type="dxa" w:w="2678"/>
            <w:vAlign w:val="center"/>
            <w:shd w:fill="F0F4F7"/>
          </w:tcPr>
          <w:p>
            <w:pPr>
              <w:spacing w:after="0" w:before="0" w:line="259" w:lineRule="auto"/>
            </w:pPr>
            <w:r>
              <w:rPr>
                <w:color w:val="15283D"/>
                <w:sz w:val="16"/>
              </w:rPr>
            </w:r>
            <w:r>
              <w:rPr>
                <w:color w:val="15283D"/>
                <w:sz w:val="16"/>
              </w:rPr>
              <w:t>$82 vs $84 roll quotes / actual roll P&amp;L</w:t>
            </w:r>
          </w:p>
        </w:tc>
        <w:tc>
          <w:tcPr>
            <w:tcW w:type="dxa" w:w="5616"/>
            <w:vAlign w:val="center"/>
            <w:shd w:fill="F0F4F7"/>
          </w:tcPr>
          <w:p>
            <w:pPr>
              <w:spacing w:after="0" w:before="0" w:line="259" w:lineRule="auto"/>
            </w:pPr>
            <w:r>
              <w:rPr>
                <w:color w:val="15283D"/>
                <w:sz w:val="16"/>
              </w:rPr>
            </w:r>
            <w:r>
              <w:rPr>
                <w:color w:val="15283D"/>
                <w:sz w:val="16"/>
              </w:rPr>
              <w:t>Curve price difference is not an immediate bookable loss / contract holding-period price change is P&amp;L</w:t>
            </w:r>
          </w:p>
        </w:tc>
        <w:tc>
          <w:tcPr>
            <w:tcW w:type="dxa" w:w="1181"/>
            <w:vAlign w:val="center"/>
            <w:shd w:fill="F0F4F7"/>
          </w:tcPr>
          <w:p>
            <w:pPr>
              <w:spacing w:after="0" w:before="0" w:line="259" w:lineRule="auto"/>
            </w:pPr>
            <w:r>
              <w:rPr>
                <w:color w:val="15283D"/>
                <w:sz w:val="16"/>
              </w:rPr>
            </w:r>
            <w:r>
              <w:rPr>
                <w:color w:val="15283D"/>
                <w:sz w:val="16"/>
              </w:rPr>
              <w:t>22</w:t>
            </w:r>
          </w:p>
        </w:tc>
      </w:tr>
      <w:tr>
        <w:trPr>
          <w:cantSplit/>
        </w:trPr>
        <w:tc>
          <w:tcPr>
            <w:tcW w:type="dxa" w:w="2678"/>
            <w:vAlign w:val="center"/>
          </w:tcPr>
          <w:p>
            <w:pPr>
              <w:spacing w:after="0" w:before="0" w:line="259" w:lineRule="auto"/>
            </w:pPr>
            <w:r>
              <w:rPr>
                <w:color w:val="15283D"/>
                <w:sz w:val="16"/>
              </w:rPr>
            </w:r>
            <w:r>
              <w:rPr>
                <w:color w:val="15283D"/>
                <w:sz w:val="16"/>
              </w:rPr>
              <w:t>Spot WTI series / investable rolling WTI strategy</w:t>
            </w:r>
          </w:p>
        </w:tc>
        <w:tc>
          <w:tcPr>
            <w:tcW w:type="dxa" w:w="5616"/>
            <w:vAlign w:val="center"/>
          </w:tcPr>
          <w:p>
            <w:pPr>
              <w:spacing w:after="0" w:before="0" w:line="259" w:lineRule="auto"/>
            </w:pPr>
            <w:r>
              <w:rPr>
                <w:color w:val="15283D"/>
                <w:sz w:val="16"/>
              </w:rPr>
            </w:r>
            <w:r>
              <w:rPr>
                <w:color w:val="15283D"/>
                <w:sz w:val="16"/>
              </w:rPr>
              <w:t>Physical price observation / explicit exchange-traded contract ledger with costs</w:t>
            </w:r>
          </w:p>
        </w:tc>
        <w:tc>
          <w:tcPr>
            <w:tcW w:type="dxa" w:w="1181"/>
            <w:vAlign w:val="center"/>
          </w:tcPr>
          <w:p>
            <w:pPr>
              <w:spacing w:after="0" w:before="0" w:line="259" w:lineRule="auto"/>
            </w:pPr>
            <w:r>
              <w:rPr>
                <w:color w:val="15283D"/>
                <w:sz w:val="16"/>
              </w:rPr>
            </w:r>
            <w:r>
              <w:rPr>
                <w:color w:val="15283D"/>
                <w:sz w:val="16"/>
              </w:rPr>
              <w:t>23</w:t>
            </w:r>
          </w:p>
        </w:tc>
      </w:tr>
      <w:tr>
        <w:trPr>
          <w:cantSplit/>
        </w:trPr>
        <w:tc>
          <w:tcPr>
            <w:tcW w:type="dxa" w:w="2678"/>
            <w:vAlign w:val="center"/>
            <w:shd w:fill="F0F4F7"/>
          </w:tcPr>
          <w:p>
            <w:pPr>
              <w:spacing w:after="0" w:before="0" w:line="259" w:lineRule="auto"/>
            </w:pPr>
            <w:r>
              <w:rPr>
                <w:color w:val="15283D"/>
                <w:sz w:val="16"/>
              </w:rPr>
            </w:r>
            <w:r>
              <w:rPr>
                <w:color w:val="15283D"/>
                <w:sz w:val="16"/>
              </w:rPr>
              <w:t>Futures initial margin / securities margin loan</w:t>
            </w:r>
          </w:p>
        </w:tc>
        <w:tc>
          <w:tcPr>
            <w:tcW w:type="dxa" w:w="5616"/>
            <w:vAlign w:val="center"/>
            <w:shd w:fill="F0F4F7"/>
          </w:tcPr>
          <w:p>
            <w:pPr>
              <w:spacing w:after="0" w:before="0" w:line="259" w:lineRule="auto"/>
            </w:pPr>
            <w:r>
              <w:rPr>
                <w:color w:val="15283D"/>
                <w:sz w:val="16"/>
              </w:rPr>
            </w:r>
            <w:r>
              <w:rPr>
                <w:color w:val="15283D"/>
                <w:sz w:val="16"/>
              </w:rPr>
              <w:t>Performance collateral / borrowed purchase financing</w:t>
            </w:r>
          </w:p>
        </w:tc>
        <w:tc>
          <w:tcPr>
            <w:tcW w:type="dxa" w:w="1181"/>
            <w:vAlign w:val="center"/>
            <w:shd w:fill="F0F4F7"/>
          </w:tcPr>
          <w:p>
            <w:pPr>
              <w:spacing w:after="0" w:before="0" w:line="259" w:lineRule="auto"/>
            </w:pPr>
            <w:r>
              <w:rPr>
                <w:color w:val="15283D"/>
                <w:sz w:val="16"/>
              </w:rPr>
            </w:r>
            <w:r>
              <w:rPr>
                <w:color w:val="15283D"/>
                <w:sz w:val="16"/>
              </w:rPr>
              <w:t>29</w:t>
            </w:r>
          </w:p>
        </w:tc>
      </w:tr>
      <w:tr>
        <w:trPr>
          <w:cantSplit/>
        </w:trPr>
        <w:tc>
          <w:tcPr>
            <w:tcW w:type="dxa" w:w="2678"/>
            <w:vAlign w:val="center"/>
          </w:tcPr>
          <w:p>
            <w:pPr>
              <w:spacing w:after="0" w:before="0" w:line="259" w:lineRule="auto"/>
            </w:pPr>
            <w:r>
              <w:rPr>
                <w:color w:val="15283D"/>
                <w:sz w:val="16"/>
              </w:rPr>
            </w:r>
            <w:r>
              <w:rPr>
                <w:color w:val="15283D"/>
                <w:sz w:val="16"/>
              </w:rPr>
              <w:t>Trading loss / collateral top-up</w:t>
            </w:r>
          </w:p>
        </w:tc>
        <w:tc>
          <w:tcPr>
            <w:tcW w:type="dxa" w:w="5616"/>
            <w:vAlign w:val="center"/>
          </w:tcPr>
          <w:p>
            <w:pPr>
              <w:spacing w:after="0" w:before="0" w:line="259" w:lineRule="auto"/>
            </w:pPr>
            <w:r>
              <w:rPr>
                <w:color w:val="15283D"/>
                <w:sz w:val="16"/>
              </w:rPr>
            </w:r>
            <w:r>
              <w:rPr>
                <w:color w:val="15283D"/>
                <w:sz w:val="16"/>
              </w:rPr>
              <w:t>P&amp;L changes net worth / cash contribution changes account funding</w:t>
            </w:r>
          </w:p>
        </w:tc>
        <w:tc>
          <w:tcPr>
            <w:tcW w:type="dxa" w:w="1181"/>
            <w:vAlign w:val="center"/>
          </w:tcPr>
          <w:p>
            <w:pPr>
              <w:spacing w:after="0" w:before="0" w:line="259" w:lineRule="auto"/>
            </w:pPr>
            <w:r>
              <w:rPr>
                <w:color w:val="15283D"/>
                <w:sz w:val="16"/>
              </w:rPr>
            </w:r>
            <w:r>
              <w:rPr>
                <w:color w:val="15283D"/>
                <w:sz w:val="16"/>
              </w:rPr>
              <w:t>30–32</w:t>
            </w:r>
          </w:p>
        </w:tc>
      </w:tr>
      <w:tr>
        <w:trPr>
          <w:cantSplit/>
        </w:trPr>
        <w:tc>
          <w:tcPr>
            <w:tcW w:type="dxa" w:w="2678"/>
            <w:vAlign w:val="center"/>
            <w:shd w:fill="F0F4F7"/>
          </w:tcPr>
          <w:p>
            <w:pPr>
              <w:spacing w:after="0" w:before="0" w:line="259" w:lineRule="auto"/>
            </w:pPr>
            <w:r>
              <w:rPr>
                <w:color w:val="15283D"/>
                <w:sz w:val="16"/>
              </w:rPr>
            </w:r>
            <w:r>
              <w:rPr>
                <w:color w:val="15283D"/>
                <w:sz w:val="16"/>
              </w:rPr>
              <w:t>Return on posted margin / return on total portfolio NAV</w:t>
            </w:r>
          </w:p>
        </w:tc>
        <w:tc>
          <w:tcPr>
            <w:tcW w:type="dxa" w:w="5616"/>
            <w:vAlign w:val="center"/>
            <w:shd w:fill="F0F4F7"/>
          </w:tcPr>
          <w:p>
            <w:pPr>
              <w:spacing w:after="0" w:before="0" w:line="259" w:lineRule="auto"/>
            </w:pPr>
            <w:r>
              <w:rPr>
                <w:color w:val="15283D"/>
                <w:sz w:val="16"/>
              </w:rPr>
            </w:r>
            <w:r>
              <w:rPr>
                <w:color w:val="15283D"/>
                <w:sz w:val="16"/>
              </w:rPr>
              <w:t>Leveraged collateral statistic / investor-level performance</w:t>
            </w:r>
          </w:p>
        </w:tc>
        <w:tc>
          <w:tcPr>
            <w:tcW w:type="dxa" w:w="1181"/>
            <w:vAlign w:val="center"/>
            <w:shd w:fill="F0F4F7"/>
          </w:tcPr>
          <w:p>
            <w:pPr>
              <w:spacing w:after="0" w:before="0" w:line="259" w:lineRule="auto"/>
            </w:pPr>
            <w:r>
              <w:rPr>
                <w:color w:val="15283D"/>
                <w:sz w:val="16"/>
              </w:rPr>
            </w:r>
            <w:r>
              <w:rPr>
                <w:color w:val="15283D"/>
                <w:sz w:val="16"/>
              </w:rPr>
              <w:t>32</w:t>
            </w:r>
          </w:p>
        </w:tc>
      </w:tr>
      <w:tr>
        <w:trPr>
          <w:cantSplit/>
        </w:trPr>
        <w:tc>
          <w:tcPr>
            <w:tcW w:type="dxa" w:w="2678"/>
            <w:vAlign w:val="center"/>
          </w:tcPr>
          <w:p>
            <w:pPr>
              <w:spacing w:after="0" w:before="0" w:line="259" w:lineRule="auto"/>
            </w:pPr>
            <w:r>
              <w:rPr>
                <w:color w:val="15283D"/>
                <w:sz w:val="16"/>
              </w:rPr>
            </w:r>
            <w:r>
              <w:rPr>
                <w:color w:val="15283D"/>
                <w:sz w:val="16"/>
              </w:rPr>
              <w:t>Short shares / short futures</w:t>
            </w:r>
          </w:p>
        </w:tc>
        <w:tc>
          <w:tcPr>
            <w:tcW w:type="dxa" w:w="5616"/>
            <w:vAlign w:val="center"/>
          </w:tcPr>
          <w:p>
            <w:pPr>
              <w:spacing w:after="0" w:before="0" w:line="259" w:lineRule="auto"/>
            </w:pPr>
            <w:r>
              <w:rPr>
                <w:color w:val="15283D"/>
                <w:sz w:val="16"/>
              </w:rPr>
            </w:r>
            <w:r>
              <w:rPr>
                <w:color w:val="15283D"/>
                <w:sz w:val="16"/>
              </w:rPr>
              <w:t>Share borrow and cover / listed futures margin and opposite expiry-matched offset</w:t>
            </w:r>
          </w:p>
        </w:tc>
        <w:tc>
          <w:tcPr>
            <w:tcW w:type="dxa" w:w="1181"/>
            <w:vAlign w:val="center"/>
          </w:tcPr>
          <w:p>
            <w:pPr>
              <w:spacing w:after="0" w:before="0" w:line="259" w:lineRule="auto"/>
            </w:pPr>
            <w:r>
              <w:rPr>
                <w:color w:val="15283D"/>
                <w:sz w:val="16"/>
              </w:rPr>
            </w:r>
            <w:r>
              <w:rPr>
                <w:color w:val="15283D"/>
                <w:sz w:val="16"/>
              </w:rPr>
              <w:t>33</w:t>
            </w:r>
          </w:p>
        </w:tc>
      </w:tr>
      <w:tr>
        <w:trPr>
          <w:cantSplit/>
        </w:trPr>
        <w:tc>
          <w:tcPr>
            <w:tcW w:type="dxa" w:w="2678"/>
            <w:vAlign w:val="center"/>
            <w:shd w:fill="F0F4F7"/>
          </w:tcPr>
          <w:p>
            <w:pPr>
              <w:spacing w:after="0" w:before="0" w:line="259" w:lineRule="auto"/>
            </w:pPr>
            <w:r>
              <w:rPr>
                <w:color w:val="15283D"/>
                <w:sz w:val="16"/>
              </w:rPr>
            </w:r>
            <w:r>
              <w:rPr>
                <w:color w:val="15283D"/>
                <w:sz w:val="16"/>
              </w:rPr>
              <w:t>Long option premium / futures initial margin</w:t>
            </w:r>
          </w:p>
        </w:tc>
        <w:tc>
          <w:tcPr>
            <w:tcW w:type="dxa" w:w="5616"/>
            <w:vAlign w:val="center"/>
            <w:shd w:fill="F0F4F7"/>
          </w:tcPr>
          <w:p>
            <w:pPr>
              <w:spacing w:after="0" w:before="0" w:line="259" w:lineRule="auto"/>
            </w:pPr>
            <w:r>
              <w:rPr>
                <w:color w:val="15283D"/>
                <w:sz w:val="16"/>
              </w:rPr>
            </w:r>
            <w:r>
              <w:rPr>
                <w:color w:val="15283D"/>
                <w:sz w:val="16"/>
              </w:rPr>
              <w:t>Paid buyer cost with generally limited buyer loss / performance bond against potentially larger losses</w:t>
            </w:r>
          </w:p>
        </w:tc>
        <w:tc>
          <w:tcPr>
            <w:tcW w:type="dxa" w:w="1181"/>
            <w:vAlign w:val="center"/>
            <w:shd w:fill="F0F4F7"/>
          </w:tcPr>
          <w:p>
            <w:pPr>
              <w:spacing w:after="0" w:before="0" w:line="259" w:lineRule="auto"/>
            </w:pPr>
            <w:r>
              <w:rPr>
                <w:color w:val="15283D"/>
                <w:sz w:val="16"/>
              </w:rPr>
            </w:r>
            <w:r>
              <w:rPr>
                <w:color w:val="15283D"/>
                <w:sz w:val="16"/>
              </w:rPr>
              <w:t>36</w:t>
            </w:r>
          </w:p>
        </w:tc>
      </w:tr>
      <w:tr>
        <w:trPr>
          <w:cantSplit/>
        </w:trPr>
        <w:tc>
          <w:tcPr>
            <w:tcW w:type="dxa" w:w="2678"/>
            <w:vAlign w:val="center"/>
          </w:tcPr>
          <w:p>
            <w:pPr>
              <w:spacing w:after="0" w:before="0" w:line="259" w:lineRule="auto"/>
            </w:pPr>
            <w:r>
              <w:rPr>
                <w:color w:val="15283D"/>
                <w:sz w:val="16"/>
              </w:rPr>
            </w:r>
            <w:r>
              <w:rPr>
                <w:color w:val="15283D"/>
                <w:sz w:val="16"/>
              </w:rPr>
              <w:t>Forward FX hedge / listed local FX future</w:t>
            </w:r>
          </w:p>
        </w:tc>
        <w:tc>
          <w:tcPr>
            <w:tcW w:type="dxa" w:w="5616"/>
            <w:vAlign w:val="center"/>
          </w:tcPr>
          <w:p>
            <w:pPr>
              <w:spacing w:after="0" w:before="0" w:line="259" w:lineRule="auto"/>
            </w:pPr>
            <w:r>
              <w:rPr>
                <w:color w:val="15283D"/>
                <w:sz w:val="16"/>
              </w:rPr>
            </w:r>
            <w:r>
              <w:rPr>
                <w:color w:val="15283D"/>
                <w:sz w:val="16"/>
              </w:rPr>
              <w:t>Negotiated OTC bank trade / separate exchange product requiring verification</w:t>
            </w:r>
          </w:p>
        </w:tc>
        <w:tc>
          <w:tcPr>
            <w:tcW w:type="dxa" w:w="1181"/>
            <w:vAlign w:val="center"/>
          </w:tcPr>
          <w:p>
            <w:pPr>
              <w:spacing w:after="0" w:before="0" w:line="259" w:lineRule="auto"/>
            </w:pPr>
            <w:r>
              <w:rPr>
                <w:color w:val="15283D"/>
                <w:sz w:val="16"/>
              </w:rPr>
            </w:r>
            <w:r>
              <w:rPr>
                <w:color w:val="15283D"/>
                <w:sz w:val="16"/>
              </w:rPr>
              <w:t>39</w:t>
            </w:r>
          </w:p>
        </w:tc>
      </w:tr>
    </w:tbl>
    <w:p>
      <w:pPr>
        <w:spacing w:after="0"/>
      </w:pPr>
    </w:p>
    <w:p>
      <w:pPr>
        <w:pStyle w:val="Heading1"/>
      </w:pPr>
      <w:r>
        <w:t>Proposed QuantEdge operating rules from Batch 02</w:t>
      </w:r>
    </w:p>
    <w:p>
      <w:pPr/>
      <w:r>
        <w:t xml:space="preserve">These are </w:t>
      </w:r>
      <w:r>
        <w:rPr>
          <w:i/>
        </w:rPr>
        <w:t>our implementation recommendations derived from the lecture</w:t>
      </w:r>
      <w:r>
        <w:t>, not claimed official contest requirements.</w:t>
      </w:r>
    </w:p>
    <w:p>
      <w:pPr>
        <w:pStyle w:val="ListBullet"/>
        <w:spacing w:after="60" w:line="259" w:lineRule="auto"/>
      </w:pPr>
      <w:r>
        <w:rPr>
          <w:b/>
        </w:rPr>
        <w:t>[F3] Correct futures history (S21–S23):</w:t>
      </w:r>
      <w:r>
        <w:t xml:space="preserve"> Separate quote date from expiry date; compute realistic position P&amp;L for defined held contracts and rolls.</w:t>
      </w:r>
    </w:p>
    <w:p>
      <w:pPr>
        <w:pStyle w:val="ListBullet"/>
        <w:spacing w:after="60" w:line="259" w:lineRule="auto"/>
      </w:pPr>
      <w:r>
        <w:rPr>
          <w:b/>
        </w:rPr>
        <w:t>[F4] Full contract specification (S26, S37):</w:t>
      </w:r>
      <w:r>
        <w:t xml:space="preserve"> Store multiplier, quotation, currency, expiry, tick, settlement/delivery and current margin parameters; no position may proceed with unknown values.</w:t>
      </w:r>
    </w:p>
    <w:p>
      <w:pPr>
        <w:pStyle w:val="ListBullet"/>
        <w:spacing w:after="60" w:line="259" w:lineRule="auto"/>
      </w:pPr>
      <w:r>
        <w:rPr>
          <w:b/>
        </w:rPr>
        <w:t>[F5] Signed contract accounting (S27–S28):</w:t>
      </w:r>
      <w:r>
        <w:t xml:space="preserve"> Sign every futures count, calculate dollar P&amp;L, apply commissions/funding separately and validate exposure/units.</w:t>
      </w:r>
    </w:p>
    <w:p>
      <w:pPr>
        <w:pStyle w:val="ListBullet"/>
        <w:spacing w:after="60" w:line="259" w:lineRule="auto"/>
      </w:pPr>
      <w:r>
        <w:rPr>
          <w:b/>
        </w:rPr>
        <w:t>[L1] Margin and cash buffer (S29–S32):</w:t>
      </w:r>
      <w:r>
        <w:t xml:space="preserve"> Stress margin calls and ensure readily accessible cash, including the possibility of margin increases and forced closing.</w:t>
      </w:r>
    </w:p>
    <w:p>
      <w:pPr>
        <w:pStyle w:val="ListBullet"/>
        <w:spacing w:after="60" w:line="259" w:lineRule="auto"/>
      </w:pPr>
      <w:r>
        <w:rPr>
          <w:b/>
        </w:rPr>
        <w:t>[L2] NAV, P&amp;L and collateral reconciliation (S30–S32):</w:t>
      </w:r>
      <w:r>
        <w:t xml:space="preserve"> Keep external deposits out of trading profit; measure investment-level return against NAV rather than only collateral deposited.</w:t>
      </w:r>
    </w:p>
    <w:p>
      <w:pPr>
        <w:pStyle w:val="ListBullet"/>
        <w:spacing w:after="60" w:line="259" w:lineRule="auto"/>
      </w:pPr>
      <w:r>
        <w:rPr>
          <w:b/>
        </w:rPr>
        <w:t>[H2] Total hedge performance (S33–S34, S38–S40):</w:t>
      </w:r>
      <w:r>
        <w:t xml:space="preserve"> Compare hedge leg with underlying physical, currency or borrowing risk; explain residual basis and counterparty mismatches.</w:t>
      </w:r>
    </w:p>
    <w:p>
      <w:pPr>
        <w:pStyle w:val="ListBullet"/>
        <w:spacing w:after="60" w:line="259" w:lineRule="auto"/>
      </w:pPr>
      <w:r>
        <w:rPr>
          <w:b/>
        </w:rPr>
        <w:t>[X2] Expiry-matched exit (S35, S37):</w:t>
      </w:r>
      <w:r>
        <w:t xml:space="preserve"> Model same-contract offsets, named roll legs and delivery cutoffs; do not just change the maturity label.</w:t>
      </w:r>
    </w:p>
    <w:p>
      <w:pPr>
        <w:pStyle w:val="ListBullet"/>
        <w:spacing w:after="60" w:line="259" w:lineRule="auto"/>
      </w:pPr>
      <w:r>
        <w:rPr>
          <w:b/>
        </w:rPr>
        <w:t>[O1] Options are nonlinear (S25, S36):</w:t>
      </w:r>
      <w:r>
        <w:t xml:space="preserve"> Model buyer premium, payoff, maturity and seller exposure separately; do not treat option premium as futures collateral.</w:t>
      </w:r>
    </w:p>
    <w:p>
      <w:pPr>
        <w:pStyle w:val="ListBullet"/>
        <w:spacing w:after="60" w:line="259" w:lineRule="auto"/>
      </w:pPr>
      <w:r>
        <w:rPr>
          <w:b/>
        </w:rPr>
        <w:t>[G2] Eligibility and live terms (S24–S26, S37, S39–S40):</w:t>
      </w:r>
      <w:r>
        <w:t xml:space="preserve"> Confirm approved contest universe and current broker/exchange/FX market permissions before claiming a hedge can be executed.</w:t>
      </w:r>
    </w:p>
    <w:p>
      <w:pPr>
        <w:pStyle w:val="Heading1"/>
      </w:pPr>
      <w:r>
        <w:t>Questions and checks for project implementation</w:t>
      </w:r>
    </w:p>
    <w:p>
      <w:pPr>
        <w:pStyle w:val="ListNumber"/>
        <w:spacing w:after="60" w:line="259" w:lineRule="auto"/>
      </w:pPr>
      <w:r>
        <w:t xml:space="preserve">1. Is our investable universe strictly funded ETFs or does the </w:t>
      </w:r>
      <w:r>
        <w:rPr>
          <w:b/>
        </w:rPr>
        <w:t>official</w:t>
      </w:r>
      <w:r>
        <w:t xml:space="preserve"> challenge permit specific futures, FX forwards, options or swaps? No permission can be inferred solely from these teaching slides.</w:t>
      </w:r>
    </w:p>
    <w:p>
      <w:pPr>
        <w:pStyle w:val="ListNumber"/>
        <w:spacing w:after="60" w:line="259" w:lineRule="auto"/>
      </w:pPr>
      <w:r>
        <w:t>2. If futures are selected, what exactly are the contract codes, expiries, sizes, daily quote sources, multiplier and roll schedule?</w:t>
      </w:r>
    </w:p>
    <w:p>
      <w:pPr>
        <w:pStyle w:val="ListNumber"/>
        <w:spacing w:after="60" w:line="259" w:lineRule="auto"/>
      </w:pPr>
      <w:r>
        <w:t>3. Are futures simulated from actual held prices, rather than physical spot data or naive percentage returns of adjusted continuous futures levels?</w:t>
      </w:r>
    </w:p>
    <w:p>
      <w:pPr>
        <w:pStyle w:val="ListNumber"/>
        <w:spacing w:after="60" w:line="259" w:lineRule="auto"/>
      </w:pPr>
      <w:r>
        <w:t>4. Does portfolio return use investor NAV, with a separate collateral account showing variation margin and cash contributions?</w:t>
      </w:r>
    </w:p>
    <w:p>
      <w:pPr>
        <w:pStyle w:val="ListNumber"/>
        <w:spacing w:after="60" w:line="259" w:lineRule="auto"/>
      </w:pPr>
      <w:r>
        <w:t>5. Can the conservative investor cover same-day adverse cash calls even after margin requirements increase during a volatility shock?</w:t>
      </w:r>
    </w:p>
    <w:p>
      <w:pPr>
        <w:pStyle w:val="ListNumber"/>
        <w:spacing w:after="60" w:line="259" w:lineRule="auto"/>
      </w:pPr>
      <w:r>
        <w:t xml:space="preserve">6. Do our derivatives hedges demonstrably reduce </w:t>
      </w:r>
      <w:r>
        <w:rPr>
          <w:i/>
        </w:rPr>
        <w:t>combined</w:t>
      </w:r>
      <w:r>
        <w:t xml:space="preserve"> portfolio loss after basis, settlement, counterparty and cost risks?</w:t>
      </w:r>
    </w:p>
    <w:p>
      <w:pPr>
        <w:pStyle w:val="ListNumber"/>
        <w:spacing w:after="60" w:line="259" w:lineRule="auto"/>
      </w:pPr>
      <w:r>
        <w:t>7. Have we verified all live margin, tick, order and expiration rules with the exchange/broker where execution is assumed?</w:t>
      </w:r>
    </w:p>
    <w:p>
      <w:pPr>
        <w:pStyle w:val="ListNumber"/>
        <w:spacing w:after="60" w:line="259" w:lineRule="auto"/>
      </w:pPr>
      <w:r>
        <w:t>8. Are our stress tests examining an adverse futures price move, widening bid–ask spreads, large cash margin calls and forced liquidation risk rather than only daily average volatility?</w:t>
      </w:r>
    </w:p>
    <w:p>
      <w:pPr>
        <w:pStyle w:val="Heading1"/>
      </w:pPr>
      <w:r>
        <w:t>Knowledge-bank continuity and next batch</w:t>
      </w:r>
    </w:p>
    <w:p>
      <w:pPr>
        <w:pStyle w:val="ListBullet"/>
        <w:spacing w:after="60" w:line="259" w:lineRule="auto"/>
      </w:pPr>
      <w:r>
        <w:t>Stable identifiers: keep B01-S01 through B01-S20 unchanged; use B02-S21 through B02-S40 for this batch.</w:t>
      </w:r>
    </w:p>
    <w:p>
      <w:pPr>
        <w:pStyle w:val="ListBullet"/>
        <w:spacing w:after="60" w:line="259" w:lineRule="auto"/>
      </w:pPr>
      <w:r>
        <w:t xml:space="preserve">Preserve a three-way distinction for later queries: </w:t>
      </w:r>
      <w:r>
        <w:rPr>
          <w:b/>
        </w:rPr>
        <w:t>speaker statements and examples</w:t>
      </w:r>
      <w:r>
        <w:t xml:space="preserve">, </w:t>
      </w:r>
      <w:r>
        <w:rPr>
          <w:b/>
        </w:rPr>
        <w:t>source caution/uncertainty</w:t>
      </w:r>
      <w:r>
        <w:t xml:space="preserve">, and </w:t>
      </w:r>
      <w:r>
        <w:rPr>
          <w:b/>
        </w:rPr>
        <w:t>derived QuantEdge implementation</w:t>
      </w:r>
      <w:r>
        <w:t>.</w:t>
      </w:r>
    </w:p>
    <w:p>
      <w:pPr>
        <w:pStyle w:val="ListBullet"/>
        <w:spacing w:after="60" w:line="259" w:lineRule="auto"/>
      </w:pPr>
      <w:r>
        <w:rPr>
          <w:b/>
        </w:rPr>
        <w:t>Next scope:</w:t>
      </w:r>
      <w:r>
        <w:t xml:space="preserve"> Slides 41–60, beginning with cost-of-carry, instrument choice, FX hedges, funded portfolio plus futures overlays, efficient-frontier selection, correlation changes, institutional constraints, and interpretation of econometric/risk outputs.</w:t>
      </w:r>
    </w:p>
    <w:p>
      <w:pPr>
        <w:pStyle w:val="ListBullet"/>
        <w:spacing w:after="60" w:line="259" w:lineRule="auto"/>
      </w:pPr>
      <w:r>
        <w:t>Do not overwrite the original masterclass, and do not present lecture examples or draft-context language as binding competition rules.</w:t>
      </w:r>
    </w:p>
    <w:p>
      <w:pPr>
        <w:pStyle w:val="SmallMuted"/>
        <w:keepNext w:val="0"/>
      </w:pPr>
      <w:r>
        <w:t>Provenance: uploaded EDGEFORGE 2026 masterclass, slides 21–40; original slide text and presenter notes. Figures and parameter values referenced in these slides are described by the lecture as illustrative unless otherwise specified.</w:t>
      </w:r>
    </w:p>
    <w:sectPr w:rsidR="00FC693F" w:rsidRPr="0006063C" w:rsidSect="00034616">
      <w:headerReference w:type="default" r:id="rId9"/>
      <w:footerReference w:type="default" r:id="rId10"/>
      <w:pgSz w:w="11909" w:h="16834"/>
      <w:pgMar w:top="1181" w:right="1210" w:bottom="1080"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576"/>
        <w:sz w:val="16"/>
      </w:rPr>
      <w:t xml:space="preserve">EDGEFORGE MASTERCLASS  •  BATCH 02  •  SLIDES 21–40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Bdr>
        <w:bottom w:val="single" w:sz="8" w:color="D5E3EA"/>
      </w:pBdr>
    </w:pPr>
    <w:r>
      <w:t>QUANTEDGE 1.0  /  KNOWLEDGE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528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Aptos Display" w:hAnsi="Aptos Display"/>
      <w:b/>
      <w:bCs/>
      <w:color w:val="15283D"/>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15283D"/>
      <w:sz w:val="2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167B8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20"/>
      <w:contextualSpacing/>
    </w:pPr>
    <w:rPr>
      <w:rFonts w:asciiTheme="majorHAnsi" w:eastAsiaTheme="majorEastAsia" w:hAnsiTheme="majorHAnsi" w:cstheme="majorBidi" w:ascii="Aptos Display" w:hAnsi="Aptos Display"/>
      <w:b/>
      <w:color w:val="1528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100"/>
    </w:pPr>
    <w:rPr>
      <w:rFonts w:ascii="Aptos" w:hAnsi="Aptos"/>
      <w:color w:val="5265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QuantEdge Knowledge Analysis — Batch 02, Slides 21–40</dc:title>
  <dc:subject>Source-anchored extraction of EDGEFORGE 2026 masterclass, slides 21–40</dc:subject>
  <dc:creator>QuantEdge Research Knowledge Base</dc:creator>
  <cp:keywords>QuantEdge; EDGEFORGE; derivatives; futures; margin; hedge; competition</cp:keywords>
  <dc:description>generated by python-docx</dc:description>
  <cp:lastModifiedBy/>
  <cp:revision>1</cp:revision>
  <dcterms:created xsi:type="dcterms:W3CDTF">2013-12-23T23:15:00Z</dcterms:created>
  <dcterms:modified xsi:type="dcterms:W3CDTF">2013-12-23T23:15:00Z</dcterms:modified>
  <cp:category/>
</cp:coreProperties>
</file>