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uted"/>
      </w:pPr>
      <w:r>
        <w:t>COMPETITION RESEARCH / SOURCE-ANCHORED ANALYSIS</w:t>
      </w:r>
    </w:p>
    <w:p>
      <w:pPr>
        <w:pStyle w:val="Title"/>
      </w:pPr>
      <w:r>
        <w:t>QuantEdge Knowledge Analysis</w:t>
      </w:r>
    </w:p>
    <w:p>
      <w:pPr/>
      <w:r>
        <w:t>Batch 03  |  Slides 41–60 of 99</w:t>
      </w:r>
    </w:p>
    <w:p>
      <w:pPr/>
      <w:r>
        <w:t>EDGEFORGE 2026 — From Financial Markets to Quantitative Investment Decisions</w:t>
      </w:r>
    </w:p>
    <w:p>
      <w:pPr>
        <w:pStyle w:val="SmallMuted"/>
      </w:pPr>
      <w:r>
        <w:t>Prepared 27 October 2026  •  Source: uploaded PowerPoint, including presenter notes  •  No external verification applied</w:t>
      </w:r>
    </w:p>
    <w:p>
      <w:pPr/>
      <w:r>
        <w:t>Purpose. Continue the slide-by-slide evidence base from Batches 01–02, retaining finance definitions, numeric examples, speaker cautions and concrete QuantEdge decisions without confusing classroom illustrations with official competition rules.</w:t>
      </w:r>
    </w:p>
    <w:p>
      <w:pPr>
        <w:pStyle w:val="Heading1"/>
        <w:keepNext/>
        <w:keepLines/>
      </w:pPr>
      <w:r>
        <w:t>Executive findings</w:t>
      </w:r>
    </w:p>
    <w:p>
      <w:pPr/>
      <w:r>
        <w:rPr>
          <w:b/>
          <w:color w:val="0E2741"/>
        </w:rPr>
        <w:t>01  Cost of carry is an explanatory benchmark, not an automatic futures forecast (S41).</w:t>
      </w:r>
      <w:r>
        <w:t xml:space="preserve"> The lecture relates spot and futures prices to financing, storage and convenience yield under simplifying assumptions. Contract curves and basis must be read before estimating roll exposure.</w:t>
      </w:r>
    </w:p>
    <w:p>
      <w:pPr/>
      <w:r>
        <w:rPr>
          <w:b/>
          <w:color w:val="0E2741"/>
        </w:rPr>
        <w:t>02  Use the investable instrument, not a convenient substitute (S42–S44).</w:t>
      </w:r>
      <w:r>
        <w:t xml:space="preserve"> An ETF, a named futures contract and an OTC FX forward have different economic exposures, cash flows and hidden risks. Only instruments permitted by the final competition rules should appear as investable choices.</w:t>
      </w:r>
    </w:p>
    <w:p>
      <w:pPr/>
      <w:r>
        <w:rPr>
          <w:b/>
          <w:color w:val="0E2741"/>
        </w:rPr>
        <w:t>03  Portfolio NAV, funded capital and derivatives notional are different quantities (S45–S48, S52).</w:t>
      </w:r>
      <w:r>
        <w:t xml:space="preserve"> The illustrative USD 10m portfolio contains USD 10m in funded assets (including cash), plus USD 1m in futures overlay notional. Margin is cash collateral rather than a separate purchase expense; futures P&amp;L belongs in the NAV calculation.</w:t>
      </w:r>
    </w:p>
    <w:p>
      <w:pPr/>
      <w:r>
        <w:rPr>
          <w:b/>
          <w:color w:val="0E2741"/>
        </w:rPr>
        <w:t>04  The efficient frontier does not choose a portfolio without a client mandate (S49, S51).</w:t>
      </w:r>
      <w:r>
        <w:t xml:space="preserve"> Expected return, covariance, risk tolerance, concentration, liquidity, execution, rebalancing and margin constraints affect the feasible answer. Forecast uncertainty can make unconstrained optimized weights unstable.</w:t>
      </w:r>
    </w:p>
    <w:p>
      <w:pPr/>
      <w:r>
        <w:rPr>
          <w:b/>
          <w:color w:val="0E2741"/>
        </w:rPr>
        <w:t>05  Diversification can fail specifically during common losses (S50).</w:t>
      </w:r>
      <w:r>
        <w:t xml:space="preserve"> Low average correlation does not prevent simultaneous left-tail losses. Normal-regime diversification claims should be tested against stress correlations and joint downside scenarios.</w:t>
      </w:r>
    </w:p>
    <w:p>
      <w:pPr/>
      <w:r>
        <w:rPr>
          <w:b/>
          <w:color w:val="0E2741"/>
        </w:rPr>
        <w:t>06  Model numbers require units, horizons, uncertainty and decisions (S53–S58).</w:t>
      </w:r>
      <w:r>
        <w:t xml:space="preserve"> GARCH volatility predicts the scale of variability, not tomorrow’s return direction. Beta, correlation, alpha, expected return and ES must be interpreted in economic terms before the team proposes a trade or hedge.</w:t>
      </w:r>
    </w:p>
    <w:p>
      <w:pPr/>
      <w:r>
        <w:rPr>
          <w:b/>
          <w:color w:val="0E2741"/>
        </w:rPr>
        <w:t>07  Decision-making requires a reproducible signal-to-position chain (S56–S58).</w:t>
      </w:r>
      <w:r>
        <w:t xml:space="preserve"> Forecast → subtract implementation costs → examine VaR/ES/stress losses → determine executable quantity → monitor/rebalance/exit. Statistical significance or ML accuracy alone is insufficient.</w:t>
      </w:r>
    </w:p>
    <w:p>
      <w:pPr/>
      <w:r>
        <w:rPr>
          <w:b/>
          <w:color w:val="0E2741"/>
        </w:rPr>
        <w:t>08  Six risk tools answer six different questions (S59–S60).</w:t>
      </w:r>
      <w:r>
        <w:t xml:space="preserve"> Volatility, VaR, ES, EVT, copulas and wavelets are complementary; each has limitations. The lecture introduces their distinct purposes here, with details deferred to later slides.</w:t>
      </w:r>
    </w:p>
    <w:p>
      <w:pPr>
        <w:pStyle w:val="Heading1"/>
        <w:keepNext/>
        <w:keepLines/>
      </w:pPr>
      <w:r>
        <w:t>Competition-critical implications</w:t>
      </w:r>
    </w:p>
    <w:p>
      <w:pPr>
        <w:pStyle w:val="ListBullet"/>
      </w:pPr>
      <w:r>
        <w:rPr>
          <w:b/>
        </w:rPr>
        <w:t xml:space="preserve">Mandate and risk appetite: </w:t>
      </w:r>
      <w:r>
        <w:t>The deck earlier specifies a conservative USD 10m institutional investor with a three-year horizon (slide 4). Batch 03 reinforces that suitability, liquidity and loss capacity should determine the chosen portfolio, not the highest theoretical return.</w:t>
      </w:r>
    </w:p>
    <w:p>
      <w:pPr>
        <w:pStyle w:val="ListBullet"/>
      </w:pPr>
      <w:r>
        <w:rPr>
          <w:b/>
        </w:rPr>
        <w:t xml:space="preserve">Portfolio-selection policy: </w:t>
      </w:r>
      <w:r>
        <w:t>Proposed QuantEdge method: compare a minimum-variance or risk-constrained allocation with other feasible frontier candidates, require a justified long-run return objective, and consider Sharpe only within a risk-acceptable set. Slides 49/51 do not prescribe one mandatory optimizer objective.</w:t>
      </w:r>
    </w:p>
    <w:p>
      <w:pPr>
        <w:pStyle w:val="ListBullet"/>
      </w:pPr>
      <w:r>
        <w:rPr>
          <w:b/>
        </w:rPr>
        <w:t xml:space="preserve">Return realism: </w:t>
      </w:r>
      <w:r>
        <w:t>Use total-return ETF data for ETF positions; for any authorized futures position, use actual signed contracts and multiplier-based P&amp;L with cash and costs. Do not interpret futures notional as capital spent.</w:t>
      </w:r>
    </w:p>
    <w:p>
      <w:pPr>
        <w:pStyle w:val="ListBullet"/>
      </w:pPr>
      <w:r>
        <w:rPr>
          <w:b/>
        </w:rPr>
        <w:t xml:space="preserve">Downside and liquidity defense: </w:t>
      </w:r>
      <w:r>
        <w:t>Report portfolio risk in investor dollars and include stress scenarios for joint crashes, execution costs, margin calls and liquidity buffers. VaR/ES are not guaranteed maximum losses.</w:t>
      </w:r>
    </w:p>
    <w:p>
      <w:pPr>
        <w:pStyle w:val="ListBullet"/>
      </w:pPr>
      <w:r>
        <w:rPr>
          <w:b/>
        </w:rPr>
        <w:t xml:space="preserve">Source-of-authority guardrail: </w:t>
      </w:r>
      <w:r>
        <w:t>This is a teaching masterclass that cites a draft competition concept, not a confirmed final rulebook. The proposed implementation rules in this document are our recommendations; validate the eligible universe, limits, rubric and mandatory deliverables separately.</w:t>
      </w:r>
    </w:p>
    <w:p>
      <w:pPr>
        <w:pStyle w:val="Heading1"/>
        <w:keepNext/>
        <w:keepLines/>
      </w:pPr>
      <w:r>
        <w:t>Slides, one by one</w:t>
      </w:r>
    </w:p>
    <w:p>
      <w:pPr>
        <w:pStyle w:val="SmallMuted"/>
      </w:pPr>
      <w:r>
        <w:t>Slide order is preserved; B03-S41–B03-S60 are stable reference IDs. “QuantEdge application” means a derived recommendation, not a competition rule.</w:t>
      </w:r>
    </w:p>
    <w:p>
      <w:pPr>
        <w:pStyle w:val="Heading2"/>
        <w:keepNext/>
        <w:keepLines/>
      </w:pPr>
      <w:r>
        <w:t>B03-S41  |  Slide 41  —  Why spot and futures prices differ</w:t>
      </w:r>
    </w:p>
    <w:p>
      <w:pPr>
        <w:pStyle w:val="SmallMuted"/>
      </w:pPr>
      <w:r>
        <w:t>TOPIC  COST-OF-CARRY ECONOMICS AND COMMODITY BASIS.</w:t>
      </w:r>
    </w:p>
    <w:p>
      <w:pPr/>
      <w:r>
        <w:rPr>
          <w:b/>
          <w:color w:val="144977"/>
        </w:rPr>
        <w:t xml:space="preserve">Source essence: </w:t>
      </w:r>
      <w:r>
        <w:t>For a storable commodity, the speaker gives the simplified continuous-compounding relation F(T) ≈ S₀ exp[(r + u − y)T]. Here S₀ is today’s spot price, r financing rate, u proportional storage cost, y convenience yield, and T time to maturity.</w:t>
      </w:r>
    </w:p>
    <w:p>
      <w:pPr/>
      <w:r>
        <w:rPr>
          <w:b/>
          <w:color w:val="144977"/>
        </w:rPr>
        <w:t xml:space="preserve">Concept / explanation: </w:t>
      </w:r>
      <w:r>
        <w:t>Financing and storage tend to make future delivery more expensive; convenience yield is the economic benefit of having physical inventory available now and works in the opposite direction. The relative spot/futures quotation (basis) and the full maturity curve matter to contract choice and roll exposure.</w:t>
      </w:r>
    </w:p>
    <w:p>
      <w:pPr/>
      <w:r>
        <w:rPr>
          <w:b/>
          <w:color w:val="144977"/>
        </w:rPr>
        <w:t xml:space="preserve">QuantEdge application: </w:t>
      </w:r>
      <w:r>
        <w:t>If an authorized commodity future is considered, record its actual quoted expiry, basis, pricing assumptions and trading/roll decision. Use the relationship as an interpretation aid, not an imputed live quote.</w:t>
      </w:r>
    </w:p>
    <w:p>
      <w:pPr/>
      <w:r>
        <w:rPr>
          <w:b/>
          <w:color w:val="144977"/>
        </w:rPr>
        <w:t xml:space="preserve">Critical caution: </w:t>
      </w:r>
      <w:r>
        <w:t>The formula assumes simplified cost of carry for a storable commodity. It is not an exact empirical law for every market, crisis or non-storable asset; futures and forwards can differ when interest rates are stochastic and futures settle daily.</w:t>
      </w:r>
    </w:p>
    <w:p>
      <w:pPr>
        <w:pStyle w:val="Heading2"/>
        <w:keepNext/>
        <w:keepLines/>
      </w:pPr>
      <w:r>
        <w:t>B03-S42  |  Slide 42  —  Choosing the market instrument — a practical investment decision</w:t>
      </w:r>
    </w:p>
    <w:p>
      <w:pPr>
        <w:pStyle w:val="SmallMuted"/>
      </w:pPr>
      <w:r>
        <w:t>TOPIC  MATCHING FINANCIAL OBJECTIVES WITH TRADABLE VEHICLES.</w:t>
      </w:r>
    </w:p>
    <w:p>
      <w:pPr/>
      <w:r>
        <w:rPr>
          <w:b/>
          <w:color w:val="144977"/>
        </w:rPr>
        <w:t xml:space="preserve">Source essence: </w:t>
      </w:r>
      <w:r>
        <w:t>The table pairs US equity exposure with a total-return ETF; gold exposure with a gold ETF or GC futures; a tactical crude-oil view with a named WTI future; a USD payable with an OTC bank FX forward; and rate hedging with a bond future or interest-rate swap. Each has distinct risks.</w:t>
      </w:r>
    </w:p>
    <w:p>
      <w:pPr/>
      <w:r>
        <w:rPr>
          <w:b/>
          <w:color w:val="144977"/>
        </w:rPr>
        <w:t xml:space="preserve">Concept / explanation: </w:t>
      </w:r>
      <w:r>
        <w:t>Economic exposure alone does not specify a strategy. Equity ETFs bring dividends, tracking and expenses; commodity futures bring roll, expiry, delivery and margin; forwards introduce bilateral credit, FX basis and settlement; rate hedges introduce duration/DV01 or swap basis risk.</w:t>
      </w:r>
    </w:p>
    <w:p>
      <w:pPr/>
      <w:r>
        <w:rPr>
          <w:b/>
          <w:color w:val="144977"/>
        </w:rPr>
        <w:t xml:space="preserve">QuantEdge application: </w:t>
      </w:r>
      <w:r>
        <w:t>Build an instrument-selection register: target exposure → approved asset/contract → trade mechanism → data source → costs → key hidden risks. If the QuantEdge universe contains funded ETFs only, model the actual ETF instead of manufacturing futures-style returns.</w:t>
      </w:r>
    </w:p>
    <w:p>
      <w:pPr/>
      <w:r>
        <w:rPr>
          <w:b/>
          <w:color w:val="144977"/>
        </w:rPr>
        <w:t xml:space="preserve">Critical caution: </w:t>
      </w:r>
      <w:r>
        <w:t>Presenter notes distinguish futures-based USO from spot crude and gold-backed GLD from gold futures. Examples do NOT prove a vehicle is allowed by the competition; verify the official eligible list.</w:t>
      </w:r>
    </w:p>
    <w:p>
      <w:pPr>
        <w:pStyle w:val="Heading2"/>
        <w:keepNext/>
        <w:keepLines/>
      </w:pPr>
      <w:r>
        <w:t>B03-S43  |  Slide 43  —  Close, roll or deliver?</w:t>
      </w:r>
    </w:p>
    <w:p>
      <w:pPr>
        <w:pStyle w:val="SmallMuted"/>
      </w:pPr>
      <w:r>
        <w:t>TOPIC  TWO-LEG FUTURES ROLLOVER CHALLENGE.</w:t>
      </w:r>
    </w:p>
    <w:p>
      <w:pPr/>
      <w:r>
        <w:rPr>
          <w:b/>
          <w:color w:val="144977"/>
        </w:rPr>
        <w:t xml:space="preserve">Source essence: </w:t>
      </w:r>
      <w:r>
        <w:t>For a long December WTI position that should keep oil exposure into January without delivery, SELL the held December contract and BUY the next selected contract month.</w:t>
      </w:r>
    </w:p>
    <w:p>
      <w:pPr/>
      <w:r>
        <w:rPr>
          <w:b/>
          <w:color w:val="144977"/>
        </w:rPr>
        <w:t xml:space="preserve">Concept / explanation: </w:t>
      </w:r>
      <w:r>
        <w:t>A roll is an actual close-out and new entry in two different expiries. It can be implemented as separate orders or a calendar spread order, but it has tradeable bid/ask prices, costs and a different curve exposure. It does not merely rename the contract maturity.</w:t>
      </w:r>
    </w:p>
    <w:p>
      <w:pPr/>
      <w:r>
        <w:rPr>
          <w:b/>
          <w:color w:val="144977"/>
        </w:rPr>
        <w:t xml:space="preserve">QuantEdge application: </w:t>
      </w:r>
      <w:r>
        <w:t>A futures backtest or app should log old contract/quantity/exit, new contract/quantity/entry, roll date, actual costs and future settlement movements.</w:t>
      </w:r>
    </w:p>
    <w:p>
      <w:pPr/>
      <w:r>
        <w:rPr>
          <w:b/>
          <w:color w:val="144977"/>
        </w:rPr>
        <w:t xml:space="preserve">Critical caution: </w:t>
      </w:r>
      <w:r>
        <w:t>The next selected expiry depends on contract availability and the chosen roll rule; it is not necessarily the immediate next calendar month. Delivery cutoff and product rules must be checked.</w:t>
      </w:r>
    </w:p>
    <w:p>
      <w:pPr>
        <w:pStyle w:val="Heading2"/>
        <w:keepNext/>
        <w:keepLines/>
      </w:pPr>
      <w:r>
        <w:t>B03-S44  |  Slide 44  —  Currency derivatives: exporter, importer and trader</w:t>
      </w:r>
    </w:p>
    <w:p>
      <w:pPr>
        <w:pStyle w:val="SmallMuted"/>
      </w:pPr>
      <w:r>
        <w:t>TOPIC  FOREIGN-EXCHANGE EXPOSURE DIRECTION AND HEDGE PURPOSE.</w:t>
      </w:r>
    </w:p>
    <w:p>
      <w:pPr/>
      <w:r>
        <w:rPr>
          <w:b/>
          <w:color w:val="144977"/>
        </w:rPr>
        <w:t xml:space="preserve">Source essence: </w:t>
      </w:r>
      <w:r>
        <w:t>Importer expecting a USD payable: long USD forward/future to protect against USD/LKR rising. Exporter expecting USD receipts: short USD to protect against USD/LKR falling. Global funds can hedge a selected fraction of base-currency FX notional; speculators choose exposure for directional profit.</w:t>
      </w:r>
    </w:p>
    <w:p>
      <w:pPr/>
      <w:r>
        <w:rPr>
          <w:b/>
          <w:color w:val="144977"/>
        </w:rPr>
        <w:t xml:space="preserve">Concept / explanation: </w:t>
      </w:r>
      <w:r>
        <w:t>USD/LKR means rupees per US dollar. When USD rises, a long USD hedge profits in LKR terms and can offset the higher cost of an imported bill. A USD exporter typically wants the opposite exposure for incoming dollars. Matching currency notional, hedge maturity and settlement matters.</w:t>
      </w:r>
    </w:p>
    <w:p>
      <w:pPr/>
      <w:r>
        <w:rPr>
          <w:b/>
          <w:color w:val="144977"/>
        </w:rPr>
        <w:t xml:space="preserve">QuantEdge application: </w:t>
      </w:r>
      <w:r>
        <w:t>For a portfolio with foreign holdings, calculate returns in the client’s reporting/base currency and disclose any approved FX hedging assumption, hedge ratio, funding cost and residual currency risk.</w:t>
      </w:r>
    </w:p>
    <w:p>
      <w:pPr/>
      <w:r>
        <w:rPr>
          <w:b/>
          <w:color w:val="144977"/>
        </w:rPr>
        <w:t xml:space="preserve">Critical caution: </w:t>
      </w:r>
      <w:r>
        <w:t>The presenter notes warn of maturity/notional mismatches, interest-rate differential, quote convention and unavailable products. Do not infer that a Sri Lankan-listed FX future or a specific bank forward is universally available.</w:t>
      </w:r>
    </w:p>
    <w:p>
      <w:pPr>
        <w:pStyle w:val="Heading2"/>
        <w:keepNext/>
        <w:keepLines/>
      </w:pPr>
      <w:r>
        <w:t>B03-S45  |  Slide 45  —  Module 04 — Multi-asset portfolio construction</w:t>
      </w:r>
    </w:p>
    <w:p>
      <w:pPr>
        <w:pStyle w:val="SmallMuted"/>
      </w:pPr>
      <w:r>
        <w:t>TOPIC  TRANSITION FROM INSTRUMENTS TO COMPLETE PORTFOLIO ACCOUNTING.</w:t>
      </w:r>
    </w:p>
    <w:p>
      <w:pPr/>
      <w:r>
        <w:rPr>
          <w:b/>
          <w:color w:val="144977"/>
        </w:rPr>
        <w:t xml:space="preserve">Source essence: </w:t>
      </w:r>
      <w:r>
        <w:t>The module introduces cash investment, derivatives overlays, hedging and risk budgets for an illustrative USD 10m investment mandate.</w:t>
      </w:r>
    </w:p>
    <w:p>
      <w:pPr/>
      <w:r>
        <w:rPr>
          <w:b/>
          <w:color w:val="144977"/>
        </w:rPr>
        <w:t xml:space="preserve">Concept / explanation: </w:t>
      </w:r>
      <w:r>
        <w:t>The main research unit becomes the total investor portfolio, not a collection of isolated asset charts or contracts. A sound method reconciles invested assets, cash, overlays and downside capacity.</w:t>
      </w:r>
    </w:p>
    <w:p>
      <w:pPr/>
      <w:r>
        <w:rPr>
          <w:b/>
          <w:color w:val="144977"/>
        </w:rPr>
        <w:t xml:space="preserve">QuantEdge application: </w:t>
      </w:r>
      <w:r>
        <w:t>Use a single portfolio-ledger design across the optimizer, risk engine, Streamlit dashboard and final recommendation.</w:t>
      </w:r>
    </w:p>
    <w:p>
      <w:pPr/>
      <w:r>
        <w:rPr>
          <w:b/>
          <w:color w:val="144977"/>
        </w:rPr>
        <w:t xml:space="preserve">Critical caution: </w:t>
      </w:r>
      <w:r>
        <w:t>This is a module heading, not a new numerical portfolio rule or a required derivatives allocation.</w:t>
      </w:r>
    </w:p>
    <w:p>
      <w:pPr>
        <w:pStyle w:val="Heading2"/>
        <w:keepNext/>
        <w:keepLines/>
      </w:pPr>
      <w:r>
        <w:t>B03-S46  |  Slide 46  —  Construct a $10m portfolio in two layers</w:t>
      </w:r>
    </w:p>
    <w:p>
      <w:pPr>
        <w:pStyle w:val="SmallMuted"/>
      </w:pPr>
      <w:r>
        <w:t>TOPIC  FUNDED ASSETS, DERIVATIVE OVERLAY AND MARGIN LIQUIDITY.</w:t>
      </w:r>
    </w:p>
    <w:p>
      <w:pPr/>
      <w:r>
        <w:rPr>
          <w:b/>
          <w:color w:val="144977"/>
        </w:rPr>
        <w:t xml:space="preserve">Source essence: </w:t>
      </w:r>
      <w:r>
        <w:t>Illustration: $4.5m equities + $3m Treasury ETFs + $1.5m gold ETF + $1m cash = $10m funded assets. Additional overlays: $0.5m oil futures notional plus $0.5m EUR futures notional. The cash buffer is available for collateral, financing and stressed margin calls.</w:t>
      </w:r>
    </w:p>
    <w:p>
      <w:pPr/>
      <w:r>
        <w:rPr>
          <w:b/>
          <w:color w:val="144977"/>
        </w:rPr>
        <w:t xml:space="preserve">Concept / explanation: </w:t>
      </w:r>
      <w:r>
        <w:t>Funded assets and the cash balance account for the full starting NAV. Futures provide economic price exposure but require collateral rather than a second full-notional purchase. Portfolio risk limits include drawdown, daily risk budget, concentration and stress loss.</w:t>
      </w:r>
    </w:p>
    <w:p>
      <w:pPr/>
      <w:r>
        <w:rPr>
          <w:b/>
          <w:color w:val="144977"/>
        </w:rPr>
        <w:t xml:space="preserve">QuantEdge application: </w:t>
      </w:r>
      <w:r>
        <w:t>Maintain separate fields for funded-asset market value, accessible cash, signed derivatives notional, actual margin encumbrance, currency, and stress-loss contribution. Reconcile all positions to $10m starting NAV in the illustration.</w:t>
      </w:r>
    </w:p>
    <w:p>
      <w:pPr/>
      <w:r>
        <w:rPr>
          <w:b/>
          <w:color w:val="144977"/>
        </w:rPr>
        <w:t xml:space="preserve">Critical caution: </w:t>
      </w:r>
      <w:r>
        <w:t>The additional $1m is illustrative derivatives NOTIONAL, not an extra $1m contribution or the maximum possible loss. Do not double-count the collateral as invested capital.</w:t>
      </w:r>
    </w:p>
    <w:p>
      <w:pPr>
        <w:pStyle w:val="Heading2"/>
        <w:keepNext/>
        <w:keepLines/>
      </w:pPr>
      <w:r>
        <w:t>B03-S47  |  Slide 47  —  How much is invested, and how much risk is overlaid?</w:t>
      </w:r>
    </w:p>
    <w:p>
      <w:pPr>
        <w:pStyle w:val="SmallMuted"/>
      </w:pPr>
      <w:r>
        <w:t>TOPIC  GROSS EXPOSURE COMPARED WITH INVESTOR NAV.</w:t>
      </w:r>
    </w:p>
    <w:p>
      <w:pPr/>
      <w:r>
        <w:rPr>
          <w:b/>
          <w:color w:val="144977"/>
        </w:rPr>
        <w:t xml:space="preserve">Source essence: </w:t>
      </w:r>
      <w:r>
        <w:t>The illustration states funded assets = $10m and derivative overlays = $1m notional; gross economic exposure may be greater than NAV.</w:t>
      </w:r>
    </w:p>
    <w:p>
      <w:pPr/>
      <w:r>
        <w:rPr>
          <w:b/>
          <w:color w:val="144977"/>
        </w:rPr>
        <w:t xml:space="preserve">Concept / explanation: </w:t>
      </w:r>
      <w:r>
        <w:t>A stock or ETF is purchased for its funded market value. A future references a larger notional price exposure through a contract multiplier and may add or offset risk even though the initial margin is smaller. Simple “portfolio weights” can obscure this distinction.</w:t>
      </w:r>
    </w:p>
    <w:p>
      <w:pPr/>
      <w:r>
        <w:rPr>
          <w:b/>
          <w:color w:val="144977"/>
        </w:rPr>
        <w:t xml:space="preserve">QuantEdge application: </w:t>
      </w:r>
      <w:r>
        <w:t>Add an exposure report for funded value, cash, signed futures notional, gross/net exposure, delta-equivalent exposure when relevant, DV01 for rate instruments, collateral and scenario P&amp;L.</w:t>
      </w:r>
    </w:p>
    <w:p>
      <w:pPr/>
      <w:r>
        <w:rPr>
          <w:b/>
          <w:color w:val="144977"/>
        </w:rPr>
        <w:t xml:space="preserve">Critical caution: </w:t>
      </w:r>
      <w:r>
        <w:t>Do not assume $11m is an exact measure of risky exposure: the result depends on how cash, netting, and overlapping positions are classified. The chart is illustrative rather than a verified live portfolio.</w:t>
      </w:r>
    </w:p>
    <w:p>
      <w:pPr>
        <w:pStyle w:val="Heading2"/>
        <w:keepNext/>
        <w:keepLines/>
      </w:pPr>
      <w:r>
        <w:t>B03-S48  |  Slide 48  —  Portfolio P&amp;L must include derivatives correctly</w:t>
      </w:r>
    </w:p>
    <w:p>
      <w:pPr>
        <w:pStyle w:val="SmallMuted"/>
      </w:pPr>
      <w:r>
        <w:t>TOPIC  SECURITY-PLUS-FUTURES TOTAL RETURN ACCOUNTING.</w:t>
      </w:r>
    </w:p>
    <w:p>
      <w:pPr/>
      <w:r>
        <w:rPr>
          <w:b/>
          <w:color w:val="144977"/>
        </w:rPr>
        <w:t xml:space="preserve">Source essence: </w:t>
      </w:r>
      <w:r>
        <w:t>The slide’s formula is ΔV ≈ Σ(qᵢ ΔPᵢ) + Σ(Nⱼ Mⱼ ΔFⱼ) + cash yield, where q is security units, N signed futures contracts, M contract multiplier, and P/F their prices. Divide total portfolio P&amp;L by beginning NAV for the simple portfolio return.</w:t>
      </w:r>
    </w:p>
    <w:p>
      <w:pPr/>
      <w:r>
        <w:rPr>
          <w:b/>
          <w:color w:val="144977"/>
        </w:rPr>
        <w:t xml:space="preserve">Concept / explanation: </w:t>
      </w:r>
      <w:r>
        <w:t>A funded security produces value changes through units × price change, plus relevant distributions; futures produce P&amp;L through signed count × multiplier × quote move. Cash yield and relevant expenses complete the wealth calculation. These are not automatically the same “weighted price return.”</w:t>
      </w:r>
    </w:p>
    <w:p>
      <w:pPr/>
      <w:r>
        <w:rPr>
          <w:b/>
          <w:color w:val="144977"/>
        </w:rPr>
        <w:t xml:space="preserve">QuantEdge application: </w:t>
      </w:r>
      <w:r>
        <w:t>Use one authoritative daily NAV/P&amp;L engine feeding optimization diagnostics, VaR/ES, stress tests, backtests and Streamlit. Unit-test buy/sell signs, contract multipliers, FX conversions, dividends, costs, rollover and funding flows.</w:t>
      </w:r>
    </w:p>
    <w:p>
      <w:pPr/>
      <w:r>
        <w:rPr>
          <w:b/>
          <w:color w:val="144977"/>
        </w:rPr>
        <w:t xml:space="preserve">Critical caution: </w:t>
      </w:r>
      <w:r>
        <w:t>The displayed relationship is approximate and abbreviated. Do not treat a 5% futures notional as 5% cash spent, or margin collateral as an operating expense; include omitted fees, distributions, taxes and FX when material.</w:t>
      </w:r>
    </w:p>
    <w:p>
      <w:pPr>
        <w:pStyle w:val="Heading2"/>
        <w:keepNext/>
        <w:keepLines/>
      </w:pPr>
      <w:r>
        <w:t>B03-S49  |  Slide 49  —  Efficient frontier: different mandates mean different portfolios</w:t>
      </w:r>
    </w:p>
    <w:p>
      <w:pPr>
        <w:pStyle w:val="SmallMuted"/>
      </w:pPr>
      <w:r>
        <w:t>TOPIC  MEAN–VARIANCE OPTIMIZATION AND SUITABILITY.</w:t>
      </w:r>
    </w:p>
    <w:p>
      <w:pPr/>
      <w:r>
        <w:rPr>
          <w:b/>
          <w:color w:val="144977"/>
        </w:rPr>
        <w:t xml:space="preserve">Source essence: </w:t>
      </w:r>
      <w:r>
        <w:t>The efficient frontier connects estimated expected returns with expected portfolio volatility. The slide says client risk tolerance selects an acceptable feasible point; historical optimization is sensitive to uncertain inputs, and implementation constraints include turnover, liquidity and futures margin.</w:t>
      </w:r>
    </w:p>
    <w:p>
      <w:pPr/>
      <w:r>
        <w:rPr>
          <w:b/>
          <w:color w:val="144977"/>
        </w:rPr>
        <w:t xml:space="preserve">Concept / explanation: </w:t>
      </w:r>
      <w:r>
        <w:t>Mean–variance optimization transforms assumed mean returns and covariance into weights. Small errors in estimated mean returns can produce extreme allocations when unconstrained. Shrinkage, regularization and robust portfolio bounds can reduce fragility.</w:t>
      </w:r>
    </w:p>
    <w:p>
      <w:pPr/>
      <w:r>
        <w:rPr>
          <w:b/>
          <w:color w:val="144977"/>
        </w:rPr>
        <w:t xml:space="preserve">QuantEdge application: </w:t>
      </w:r>
      <w:r>
        <w:t>For QuantEdge’s conservative client, present alternative feasible portfolios, such as constrained minimum variance and a return-target/risk-capped candidate. Show risk/return tradeoffs and explain why the selected point fits the mandate; maximizing Sharpe is one possible objective, not the only valid optimizer.</w:t>
      </w:r>
    </w:p>
    <w:p>
      <w:pPr/>
      <w:r>
        <w:rPr>
          <w:b/>
          <w:color w:val="144977"/>
        </w:rPr>
        <w:t xml:space="preserve">Critical caution: </w:t>
      </w:r>
      <w:r>
        <w:t>The frontier plotted is conceptual, not verified market data. The slide does not state an official optimizer, guaranteed return target, or that tangency/max-Sharpe must be selected.</w:t>
      </w:r>
    </w:p>
    <w:p>
      <w:pPr>
        <w:pStyle w:val="Heading2"/>
        <w:keepNext/>
        <w:keepLines/>
      </w:pPr>
      <w:r>
        <w:t>B03-S50  |  Slide 50  —  Correlation may change when diversification is needed most</w:t>
      </w:r>
    </w:p>
    <w:p>
      <w:pPr>
        <w:pStyle w:val="SmallMuted"/>
      </w:pPr>
      <w:r>
        <w:t>TOPIC  AVERAGE CORRELATION VERSUS JOINT DOWNSIDE RISK.</w:t>
      </w:r>
    </w:p>
    <w:p>
      <w:pPr/>
      <w:r>
        <w:rPr>
          <w:b/>
          <w:color w:val="144977"/>
        </w:rPr>
        <w:t xml:space="preserve">Source essence: </w:t>
      </w:r>
      <w:r>
        <w:t>Low average correlation helps normal-market diversification, but regime shifts can cause multiple holdings to lose together. Stress correlation matters for multi-asset risk budgets.</w:t>
      </w:r>
    </w:p>
    <w:p>
      <w:pPr/>
      <w:r>
        <w:rPr>
          <w:b/>
          <w:color w:val="144977"/>
        </w:rPr>
        <w:t xml:space="preserve">Concept / explanation: </w:t>
      </w:r>
      <w:r>
        <w:t>Pearson correlation captures average linear comovement; it does not guarantee independence in severe left-tail events. Assets can appear to diversify each other in calm periods yet simultaneously crash. Copulas and tail-dependence analysis are introduced later in the deck as possible extensions.</w:t>
      </w:r>
    </w:p>
    <w:p>
      <w:pPr/>
      <w:r>
        <w:rPr>
          <w:b/>
          <w:color w:val="144977"/>
        </w:rPr>
        <w:t xml:space="preserve">QuantEdge application: </w:t>
      </w:r>
      <w:r>
        <w:t>Report normal and stressed dependence, crisis/synthetic correlation-shock scenarios, concentration of downside contributors, and portfolio ES sensitivity to simultaneous losses.</w:t>
      </w:r>
    </w:p>
    <w:p>
      <w:pPr/>
      <w:r>
        <w:rPr>
          <w:b/>
          <w:color w:val="144977"/>
        </w:rPr>
        <w:t xml:space="preserve">Critical caution: </w:t>
      </w:r>
      <w:r>
        <w:t>The lecture’s correlation graphics are illustrative and not estimates from a named crisis. No specific real-world correlation or reliable predictive tail model can be inferred from this slide alone.</w:t>
      </w:r>
    </w:p>
    <w:p>
      <w:pPr>
        <w:pStyle w:val="Heading2"/>
        <w:keepNext/>
        <w:keepLines/>
      </w:pPr>
      <w:r>
        <w:t>B03-S51  |  Slide 51  —  Institutional constraints change the optimal answer</w:t>
      </w:r>
    </w:p>
    <w:p>
      <w:pPr>
        <w:pStyle w:val="SmallMuted"/>
      </w:pPr>
      <w:r>
        <w:t>TOPIC  FOUR CATEGORIES OF IMPLEMENTATION CONSTRAINTS.</w:t>
      </w:r>
    </w:p>
    <w:p>
      <w:pPr/>
      <w:r>
        <w:rPr>
          <w:b/>
          <w:color w:val="144977"/>
        </w:rPr>
        <w:t xml:space="preserve">Source essence: </w:t>
      </w:r>
      <w:r>
        <w:t>Four stated categories: concentration (asset/sector limits and futures leverage); liquidity (spread, turnover, volume, margin calls and fees); suitability (capital preservation for conservative client); governance (rebalancing, independent checks and explainable limits).</w:t>
      </w:r>
    </w:p>
    <w:p>
      <w:pPr/>
      <w:r>
        <w:rPr>
          <w:b/>
          <w:color w:val="144977"/>
        </w:rPr>
        <w:t xml:space="preserve">Concept / explanation: </w:t>
      </w:r>
      <w:r>
        <w:t>The mathematically highest-scoring solution may be too concentrated, too expensive to trade or too illiquid under stress. A feasible optimizer must enforce policy and trading constraints, not check them only after selecting weights.</w:t>
      </w:r>
    </w:p>
    <w:p>
      <w:pPr/>
      <w:r>
        <w:rPr>
          <w:b/>
          <w:color w:val="144977"/>
        </w:rPr>
        <w:t xml:space="preserve">QuantEdge application: </w:t>
      </w:r>
      <w:r>
        <w:t>Propose written investment-policy limits for concentration, per-asset weights, gross notionals, cash reserve, turnover and risk caps. Record who reviews outputs and how often the portfolio is rebalanced.</w:t>
      </w:r>
    </w:p>
    <w:p>
      <w:pPr/>
      <w:r>
        <w:rPr>
          <w:b/>
          <w:color w:val="144977"/>
        </w:rPr>
        <w:t xml:space="preserve">Critical caution: </w:t>
      </w:r>
      <w:r>
        <w:t>Thresholds are not given by the lecture. Any chosen numerical maximum drawdown, ES, margin ratio, concentration cap or return floor must be justified and distinguished from official contest requirements.</w:t>
      </w:r>
    </w:p>
    <w:p>
      <w:pPr>
        <w:pStyle w:val="Heading2"/>
        <w:keepNext/>
        <w:keepLines/>
      </w:pPr>
      <w:r>
        <w:t>B03-S52  |  Slide 52  —  Notional exposure is NOT cash spent</w:t>
      </w:r>
    </w:p>
    <w:p>
      <w:pPr>
        <w:pStyle w:val="SmallMuted"/>
      </w:pPr>
      <w:r>
        <w:t>TOPIC  ETF PURCHASE VERSUS A LEVERAGED FUTURES EXPOSURE.</w:t>
      </w:r>
    </w:p>
    <w:p>
      <w:pPr/>
      <w:r>
        <w:rPr>
          <w:b/>
          <w:color w:val="144977"/>
        </w:rPr>
        <w:t xml:space="preserve">Source essence: </w:t>
      </w:r>
      <w:r>
        <w:t>Buying $1m in an ETF uses $1m cash. By contrast, 10 CL futures × 1,000 barrels × $100/barrel represent $1m oil notional; hypothetical posted initial margin is $70,000. A $5/barrel price move across those ten contracts means $50,000 trading P&amp;L/cash variation (before costs).</w:t>
      </w:r>
    </w:p>
    <w:p>
      <w:pPr/>
      <w:r>
        <w:rPr>
          <w:b/>
          <w:color w:val="144977"/>
        </w:rPr>
        <w:t xml:space="preserve">Concept / explanation: </w:t>
      </w:r>
      <w:r>
        <w:t>The margin deposit secures the obligation but does not buy the full underlying asset. The futures exposure remains $1m even if only $70k is set aside initially, and the investor still needs liquid assets to fund adverse daily settlements.</w:t>
      </w:r>
    </w:p>
    <w:p>
      <w:pPr/>
      <w:r>
        <w:rPr>
          <w:b/>
          <w:color w:val="144977"/>
        </w:rPr>
        <w:t xml:space="preserve">QuantEdge application: </w:t>
      </w:r>
      <w:r>
        <w:t>In the optimizer, app and investment memo, show cash allocation, notional exposure and margin separately. Use contract-level sensitivity to convert oil/FX price shocks into portfolio-currency losses.</w:t>
      </w:r>
    </w:p>
    <w:p>
      <w:pPr/>
      <w:r>
        <w:rPr>
          <w:b/>
          <w:color w:val="144977"/>
        </w:rPr>
        <w:t xml:space="preserve">Critical caution: </w:t>
      </w:r>
      <w:r>
        <w:t>$70k is an illustrative margin amount, not a live requirement. A 5-dollar adverse move would generate the same $50k magnitude as a favorable move, with the sign reversed; margin is not a loss ceiling.</w:t>
      </w:r>
    </w:p>
    <w:p>
      <w:pPr>
        <w:pStyle w:val="Heading2"/>
        <w:keepNext/>
        <w:keepLines/>
      </w:pPr>
      <w:r>
        <w:t>B03-S53  |  Slide 53  —  Module 05 — Interpreting model outputs</w:t>
      </w:r>
    </w:p>
    <w:p>
      <w:pPr>
        <w:pStyle w:val="SmallMuted"/>
      </w:pPr>
      <w:r>
        <w:t>TOPIC  TRANSITION FROM MATHEMATICAL FORECASTS TO FINANCIAL DECISIONS.</w:t>
      </w:r>
    </w:p>
    <w:p>
      <w:pPr/>
      <w:r>
        <w:rPr>
          <w:b/>
          <w:color w:val="144977"/>
        </w:rPr>
        <w:t xml:space="preserve">Source essence: </w:t>
      </w:r>
      <w:r>
        <w:t>Module purpose: translate regression, volatility and optimizer outputs into the language of market actions and economic significance.</w:t>
      </w:r>
    </w:p>
    <w:p>
      <w:pPr/>
      <w:r>
        <w:rPr>
          <w:b/>
          <w:color w:val="144977"/>
        </w:rPr>
        <w:t xml:space="preserve">Concept / explanation: </w:t>
      </w:r>
      <w:r>
        <w:t>A parameter or model score is an intermediate signal. The actual goal is a tradeable, defensible risk-budget decision.</w:t>
      </w:r>
    </w:p>
    <w:p>
      <w:pPr/>
      <w:r>
        <w:rPr>
          <w:b/>
          <w:color w:val="144977"/>
        </w:rPr>
        <w:t xml:space="preserve">QuantEdge application: </w:t>
      </w:r>
      <w:r>
        <w:t>Require every QuantEdge model panel to answer: What is being estimated, in what units and horizon, with what uncertainty, and what action follows?</w:t>
      </w:r>
    </w:p>
    <w:p>
      <w:pPr/>
      <w:r>
        <w:rPr>
          <w:b/>
          <w:color w:val="144977"/>
        </w:rPr>
        <w:t xml:space="preserve">Critical caution: </w:t>
      </w:r>
      <w:r>
        <w:t>This introductory slide introduces no separate model formula or compulsory algorithm.</w:t>
      </w:r>
    </w:p>
    <w:p>
      <w:pPr>
        <w:pStyle w:val="Heading2"/>
        <w:keepNext/>
        <w:keepLines/>
      </w:pPr>
      <w:r>
        <w:t>B03-S54  |  Slide 54  —  Read a model like a trader or portfolio manager</w:t>
      </w:r>
    </w:p>
    <w:p>
      <w:pPr>
        <w:pStyle w:val="SmallMuted"/>
      </w:pPr>
      <w:r>
        <w:t>TOPIC  SIX OUTPUTS TRANSLATED INTO ECONOMIC INTERPRETATIONS.</w:t>
      </w:r>
    </w:p>
    <w:p>
      <w:pPr/>
      <w:r>
        <w:rPr>
          <w:b/>
          <w:color w:val="144977"/>
        </w:rPr>
        <w:t xml:space="preserve">Source essence: </w:t>
      </w:r>
      <w:r>
        <w:t>Expected return μ = uncertain economic reward; volatility σ = typical return dispersion; beta β = 1.3 = approximate sensitivity to the chosen benchmark; correlation ρ = average linear co-movement; GARCH = time-varying conditional volatility; information ratio = active return relative to active risk.</w:t>
      </w:r>
    </w:p>
    <w:p>
      <w:pPr/>
      <w:r>
        <w:rPr>
          <w:b/>
          <w:color w:val="144977"/>
        </w:rPr>
        <w:t xml:space="preserve">Concept / explanation: </w:t>
      </w:r>
      <w:r>
        <w:t>Each statistic can change decisions: rank or conservatively size assets using μ; adjust exposure with σ; consider benchmark hedge with beta; diversify while checking tails with ρ; de-risk as forecast volatility spikes; use information ratio to compare active strategies.</w:t>
      </w:r>
    </w:p>
    <w:p>
      <w:pPr/>
      <w:r>
        <w:rPr>
          <w:b/>
          <w:color w:val="144977"/>
        </w:rPr>
        <w:t xml:space="preserve">QuantEdge application: </w:t>
      </w:r>
      <w:r>
        <w:t>For each app metric, show a short plain-English interpretation and the associated possible action. Clearly state estimation window, return frequency, benchmark, forecast horizon and confidence/uncertainty.</w:t>
      </w:r>
    </w:p>
    <w:p>
      <w:pPr/>
      <w:r>
        <w:rPr>
          <w:b/>
          <w:color w:val="144977"/>
        </w:rPr>
        <w:t xml:space="preserve">Critical caution: </w:t>
      </w:r>
      <w:r>
        <w:t>Model beta depends on benchmark and sampling; correlation is not causality; none of the displayed estimates guarantees a future market movement. The slide’s β=1.3 is an example, not a property of our assets.</w:t>
      </w:r>
    </w:p>
    <w:p>
      <w:pPr>
        <w:pStyle w:val="Heading2"/>
        <w:keepNext/>
        <w:keepLines/>
      </w:pPr>
      <w:r>
        <w:t>B03-S55  |  Slide 55  —  Volatility clustering: what GARCH actually tells a risk desk</w:t>
      </w:r>
    </w:p>
    <w:p>
      <w:pPr>
        <w:pStyle w:val="SmallMuted"/>
      </w:pPr>
      <w:r>
        <w:t>TOPIC  CONDITIONAL VOLATILITY VERSUS EXPECTED RETURN DIRECTION.</w:t>
      </w:r>
    </w:p>
    <w:p>
      <w:pPr/>
      <w:r>
        <w:rPr>
          <w:b/>
          <w:color w:val="144977"/>
        </w:rPr>
        <w:t xml:space="preserve">Source essence: </w:t>
      </w:r>
      <w:r>
        <w:t>A GARCH forecast can signal changing near-term conditional variance. The speaker compares hypothetical next-day standard deviation 2.2% with a calmer 1.0%—approximately 2.2× the volatility scale, not a +2.2% forecast return.</w:t>
      </w:r>
    </w:p>
    <w:p>
      <w:pPr/>
      <w:r>
        <w:rPr>
          <w:b/>
          <w:color w:val="144977"/>
        </w:rPr>
        <w:t xml:space="preserve">Concept / explanation: </w:t>
      </w:r>
      <w:r>
        <w:t>Periods with large absolute moves tend to be followed by further volatile periods. A higher σ warns that losses as well as gains can be larger, prompting reduced position size or stricter risk limits; it does not predict whether the next return is positive or negative.</w:t>
      </w:r>
    </w:p>
    <w:p>
      <w:pPr/>
      <w:r>
        <w:rPr>
          <w:b/>
          <w:color w:val="144977"/>
        </w:rPr>
        <w:t xml:space="preserve">QuantEdge application: </w:t>
      </w:r>
      <w:r>
        <w:t>Use time-varying volatility forecasts as inputs to scenario/risk estimation, exposure caps and possible risk-reduction triggers. Compare forecasts with realized volatility and benchmark models out of sample.</w:t>
      </w:r>
    </w:p>
    <w:p>
      <w:pPr/>
      <w:r>
        <w:rPr>
          <w:b/>
          <w:color w:val="144977"/>
        </w:rPr>
        <w:t xml:space="preserve">Critical caution: </w:t>
      </w:r>
      <w:r>
        <w:t>The slide’s plotted series and 2.2% figure are illustrative. A volatility forecast is not an estimate of alpha; it does not make a trade profitable by itself.</w:t>
      </w:r>
    </w:p>
    <w:p>
      <w:pPr>
        <w:pStyle w:val="Heading2"/>
        <w:keepNext/>
        <w:keepLines/>
      </w:pPr>
      <w:r>
        <w:t>B03-S56  |  Slide 56  —  Model forecast versus financially actionable signal</w:t>
      </w:r>
    </w:p>
    <w:p>
      <w:pPr>
        <w:pStyle w:val="SmallMuted"/>
      </w:pPr>
      <w:r>
        <w:t>TOPIC  PREDICTIVE UNCERTAINTY, COSTS AND IMPLEMENTABILITY.</w:t>
      </w:r>
    </w:p>
    <w:p>
      <w:pPr/>
      <w:r>
        <w:rPr>
          <w:b/>
          <w:color w:val="144977"/>
        </w:rPr>
        <w:t xml:space="preserve">Source essence: </w:t>
      </w:r>
      <w:r>
        <w:t>Example: next-day predicted return +0.30%, predicted daily volatility 2.0%, and confidence intervals overlapping zero. Investment decisions should compare expected alpha with commissions, spreads and slippage and size against risk limits.</w:t>
      </w:r>
    </w:p>
    <w:p>
      <w:pPr/>
      <w:r>
        <w:rPr>
          <w:b/>
          <w:color w:val="144977"/>
        </w:rPr>
        <w:t xml:space="preserve">Concept / explanation: </w:t>
      </w:r>
      <w:r>
        <w:t>A forecast may point upward yet be too uncertain or economically small to act on. Statistical significance cannot substitute for net trade profit: a precisely estimated but tiny effect can still be unprofitable after costs.</w:t>
      </w:r>
    </w:p>
    <w:p>
      <w:pPr/>
      <w:r>
        <w:rPr>
          <w:b/>
          <w:color w:val="144977"/>
        </w:rPr>
        <w:t xml:space="preserve">QuantEdge application: </w:t>
      </w:r>
      <w:r>
        <w:t>Provide a no-trade/reject option when estimated net edge is weak, confidence is insufficient, or VaR/ES/stress-loss and liquidity budgets fail. Explain signal reliability and out-of-sample evidence.</w:t>
      </w:r>
    </w:p>
    <w:p>
      <w:pPr/>
      <w:r>
        <w:rPr>
          <w:b/>
          <w:color w:val="144977"/>
        </w:rPr>
        <w:t xml:space="preserve">Critical caution: </w:t>
      </w:r>
      <w:r>
        <w:t>The +0.30%, 2.0% and confidence interval are teaching illustrations, not verified forecasts for QuantEdge. Do not call the model “tradable” merely because the predicted return is above zero.</w:t>
      </w:r>
    </w:p>
    <w:p>
      <w:pPr>
        <w:pStyle w:val="Heading2"/>
        <w:keepNext/>
        <w:keepLines/>
      </w:pPr>
      <w:r>
        <w:t>B03-S57  |  Slide 57  —  From forecast to position sizing</w:t>
      </w:r>
    </w:p>
    <w:p>
      <w:pPr>
        <w:pStyle w:val="SmallMuted"/>
      </w:pPr>
      <w:r>
        <w:t>TOPIC  FIVE-STAGE TRADE-DECISION PIPELINE.</w:t>
      </w:r>
    </w:p>
    <w:p>
      <w:pPr/>
      <w:r>
        <w:rPr>
          <w:b/>
          <w:color w:val="144977"/>
        </w:rPr>
        <w:t xml:space="preserve">Source essence: </w:t>
      </w:r>
      <w:r>
        <w:t>The slide orders the workflow: (1) Signal—model expected return or direction; (2) Cost—deduct spread, commission and market impact; (3) Risk—evaluate VaR, ES and scenario loss; (4) Size—choose executable contracts/units; (5) Monitor—rebalance, hedge or exit.</w:t>
      </w:r>
    </w:p>
    <w:p>
      <w:pPr/>
      <w:r>
        <w:rPr>
          <w:b/>
          <w:color w:val="144977"/>
        </w:rPr>
        <w:t xml:space="preserve">Concept / explanation: </w:t>
      </w:r>
      <w:r>
        <w:t>Forecast selection is not the final output. Position sizes depend on available risk budget, turnover, funding, exchange rate into base currency and whole-contract granularity for derivatives.</w:t>
      </w:r>
    </w:p>
    <w:p>
      <w:pPr/>
      <w:r>
        <w:rPr>
          <w:b/>
          <w:color w:val="144977"/>
        </w:rPr>
        <w:t xml:space="preserve">QuantEdge application: </w:t>
      </w:r>
      <w:r>
        <w:t>Connect data/model outputs to cost adjustments, risk-limit tests, deterministic sizing and monitoring within one auditable Python and Streamlit pipeline.</w:t>
      </w:r>
    </w:p>
    <w:p>
      <w:pPr/>
      <w:r>
        <w:rPr>
          <w:b/>
          <w:color w:val="144977"/>
        </w:rPr>
        <w:t xml:space="preserve">Critical caution: </w:t>
      </w:r>
      <w:r>
        <w:t>A mathematically optimal percentage allocation may not be executable using integer futures counts; an attractive signal can legitimately result in zero exposure.</w:t>
      </w:r>
    </w:p>
    <w:p>
      <w:pPr>
        <w:pStyle w:val="Heading2"/>
        <w:keepNext/>
        <w:keepLines/>
      </w:pPr>
      <w:r>
        <w:t>B03-S58  |  Slide 58  —  Interpreting econometric outputs as trades</w:t>
      </w:r>
    </w:p>
    <w:p>
      <w:pPr>
        <w:pStyle w:val="SmallMuted"/>
      </w:pPr>
      <w:r>
        <w:t>TOPIC  ECONOMIC TRANSLATION OF GARCH, BETA, ALPHA, CORRELATION AND ES.</w:t>
      </w:r>
    </w:p>
    <w:p>
      <w:pPr/>
      <w:r>
        <w:rPr>
          <w:b/>
          <w:color w:val="144977"/>
        </w:rPr>
        <w:t xml:space="preserve">Source essence: </w:t>
      </w:r>
      <w:r>
        <w:t>Slide examples: GARCH σ = 2.5%/day indicates risk scale; β = 1.4 indicates equity benchmark sensitivity; α = +0.20%/month is model-conditional abnormal return; ρ = 0.15 is modest linear correlation; ES99 = $390,000 represents average loss in the modeled worst 1% tail.</w:t>
      </w:r>
    </w:p>
    <w:p>
      <w:pPr/>
      <w:r>
        <w:rPr>
          <w:b/>
          <w:color w:val="144977"/>
        </w:rPr>
        <w:t xml:space="preserve">Concept / explanation: </w:t>
      </w:r>
      <w:r>
        <w:t>Potential actions are lower notional and margin checks for GARCH, possible benchmark hedge for beta, net-of-costs validation for alpha, joint-crash checks for correlation, and comparison of ES with the client’s downside capacity.</w:t>
      </w:r>
    </w:p>
    <w:p>
      <w:pPr/>
      <w:r>
        <w:rPr>
          <w:b/>
          <w:color w:val="144977"/>
        </w:rPr>
        <w:t xml:space="preserve">QuantEdge application: </w:t>
      </w:r>
      <w:r>
        <w:t>Use a metric-to-decision table throughout our report and app; label the unit, interval, forecast/testing horizon, methodology, error bars and specific risk/hedge consequence.</w:t>
      </w:r>
    </w:p>
    <w:p>
      <w:pPr/>
      <w:r>
        <w:rPr>
          <w:b/>
          <w:color w:val="144977"/>
        </w:rPr>
        <w:t xml:space="preserve">Critical caution: </w:t>
      </w:r>
      <w:r>
        <w:t>The ES99 dollar figure has no stated time horizon on this slide, so one must be added before an operational comparison. Other numbers are examples, not measured values. Economic significance and data quality can be more important than statistical fit.</w:t>
      </w:r>
    </w:p>
    <w:p>
      <w:pPr>
        <w:pStyle w:val="Heading2"/>
        <w:keepNext/>
        <w:keepLines/>
      </w:pPr>
      <w:r>
        <w:t>B03-S59  |  Slide 59  —  Module 06 — Risk beyond volatility</w:t>
      </w:r>
    </w:p>
    <w:p>
      <w:pPr>
        <w:pStyle w:val="SmallMuted"/>
      </w:pPr>
      <w:r>
        <w:t>TOPIC  TRANSITION TO DOWNSIDE RISK AND DEPENDENCE MODELS.</w:t>
      </w:r>
    </w:p>
    <w:p>
      <w:pPr/>
      <w:r>
        <w:rPr>
          <w:b/>
          <w:color w:val="144977"/>
        </w:rPr>
        <w:t xml:space="preserve">Source essence: </w:t>
      </w:r>
      <w:r>
        <w:t>Introduces why VaR, Expected Shortfall, extreme-value theory, copulas and wavelets accompany ordinary volatility analysis.</w:t>
      </w:r>
    </w:p>
    <w:p>
      <w:pPr/>
      <w:r>
        <w:rPr>
          <w:b/>
          <w:color w:val="144977"/>
        </w:rPr>
        <w:t xml:space="preserve">Concept / explanation: </w:t>
      </w:r>
      <w:r>
        <w:t>Risk has several questions: ordinary variability, threshold losses, severity after threshold, rare extremes, synchronized crashes, and time/horizon dependence. No single metric addresses all six.</w:t>
      </w:r>
    </w:p>
    <w:p>
      <w:pPr/>
      <w:r>
        <w:rPr>
          <w:b/>
          <w:color w:val="144977"/>
        </w:rPr>
        <w:t xml:space="preserve">QuantEdge application: </w:t>
      </w:r>
      <w:r>
        <w:t>Organize QuantEdge risk reporting by the decision question each risk metric answers rather than by algorithm names alone.</w:t>
      </w:r>
    </w:p>
    <w:p>
      <w:pPr/>
      <w:r>
        <w:rPr>
          <w:b/>
          <w:color w:val="144977"/>
        </w:rPr>
        <w:t xml:space="preserve">Critical caution: </w:t>
      </w:r>
      <w:r>
        <w:t>This is a chapter opening; detailed estimation and validation appear in subsequent slides, not within slide 59 itself.</w:t>
      </w:r>
    </w:p>
    <w:p>
      <w:pPr>
        <w:pStyle w:val="Heading2"/>
        <w:keepNext/>
        <w:keepLines/>
      </w:pPr>
      <w:r>
        <w:t>B03-S60  |  Slide 60  —  Six different risk questions — six different tools</w:t>
      </w:r>
    </w:p>
    <w:p>
      <w:pPr>
        <w:pStyle w:val="SmallMuted"/>
      </w:pPr>
      <w:r>
        <w:t>TOPIC  VOLATILITY, VAR, ES, EVT, COPULAS AND WAVELETS.</w:t>
      </w:r>
    </w:p>
    <w:p>
      <w:pPr/>
      <w:r>
        <w:rPr>
          <w:b/>
          <w:color w:val="144977"/>
        </w:rPr>
        <w:t xml:space="preserve">Source essence: </w:t>
      </w:r>
      <w:r>
        <w:t>Volatility asks how variable normal-day returns are; VaR finds a tail-loss quantile; ES asks how severe losses are within the worst tail; EVT models rare exceedances; copulas describe dependence/joint crashes; wavelets examine relationships across time and horizons.</w:t>
      </w:r>
    </w:p>
    <w:p>
      <w:pPr/>
      <w:r>
        <w:rPr>
          <w:b/>
          <w:color w:val="144977"/>
        </w:rPr>
        <w:t xml:space="preserve">Concept / explanation: </w:t>
      </w:r>
      <w:r>
        <w:t>A good investment recommendation combines complementary views. VaR does not measure the average loss beyond its cutoff; ES does. Copulas structure dependence rather than marginals. Wavelets can show scale and timing but do not replace forecast validation.</w:t>
      </w:r>
    </w:p>
    <w:p>
      <w:pPr/>
      <w:r>
        <w:rPr>
          <w:b/>
          <w:color w:val="144977"/>
        </w:rPr>
        <w:t xml:space="preserve">QuantEdge application: </w:t>
      </w:r>
      <w:r>
        <w:t>For the USD 10m conservative mandate, report clearly stated-horizon VaR and ES, relevant stress scenarios and evidence about model robustness; introduce EVT/copula/wavelet results only if their estimation and validation are sound and their value to a decision is clear.</w:t>
      </w:r>
    </w:p>
    <w:p>
      <w:pPr/>
      <w:r>
        <w:rPr>
          <w:b/>
          <w:color w:val="144977"/>
        </w:rPr>
        <w:t xml:space="preserve">Critical caution: </w:t>
      </w:r>
      <w:r>
        <w:t>Volatility is not a complete downside measure; EVT tail parameters can be uncertain; copulas are model-dependent; wavelet patterns can reflect filtering/edge artifacts. This slide does not require every method as a competition deliverable.</w:t>
      </w:r>
    </w:p>
    <w:p>
      <w:pPr>
        <w:pStyle w:val="Heading1"/>
        <w:keepNext/>
        <w:keepLines/>
      </w:pPr>
      <w:r>
        <w:t>Formulas and worked-example reference</w:t>
      </w:r>
    </w:p>
    <w:p>
      <w:pPr>
        <w:pStyle w:val="Heading3"/>
        <w:keepNext/>
        <w:keepLines/>
      </w:pPr>
      <w:r>
        <w:t>Cost of carry — S41</w:t>
      </w:r>
    </w:p>
    <w:p>
      <w:r>
        <w:rPr>
          <w:b/>
          <w:color w:val="144977"/>
          <w:sz w:val="22"/>
        </w:rPr>
        <w:t>F(T) ≈ S₀ × exp[(r + u − y)T]</w:t>
      </w:r>
    </w:p>
    <w:p>
      <w:pPr/>
      <w:r>
        <w:t>Simplified storable-commodity pricing relation: spot S₀, financing r, storage u, convenience y, maturity T; assumptions and actual quotes must be checked.</w:t>
      </w:r>
    </w:p>
    <w:p>
      <w:pPr>
        <w:pStyle w:val="Heading3"/>
        <w:keepNext/>
        <w:keepLines/>
      </w:pPr>
      <w:r>
        <w:t>Funded assets + overlay — S46</w:t>
      </w:r>
    </w:p>
    <w:p>
      <w:r>
        <w:rPr>
          <w:b/>
          <w:color w:val="144977"/>
          <w:sz w:val="22"/>
        </w:rPr>
        <w:t>$4.5m + $3m + $1.5m + $1m = $10m funded NAV; $0.5m oil + $0.5m EUR = $1m futures notional</w:t>
      </w:r>
    </w:p>
    <w:p>
      <w:pPr/>
      <w:r>
        <w:t>The second amount is added economic exposure, not additional deposited client capital. Cash and margin must reconcile separately.</w:t>
      </w:r>
    </w:p>
    <w:p>
      <w:pPr>
        <w:pStyle w:val="Heading3"/>
        <w:keepNext/>
        <w:keepLines/>
      </w:pPr>
      <w:r>
        <w:t>Portfolio P&amp;L — S48</w:t>
      </w:r>
    </w:p>
    <w:p>
      <w:r>
        <w:rPr>
          <w:b/>
          <w:color w:val="144977"/>
          <w:sz w:val="22"/>
        </w:rPr>
        <w:t>ΔV ≈ Σᵢ(qᵢΔPᵢ) + Σⱼ(NⱼMⱼΔFⱼ) + cash yield</w:t>
      </w:r>
    </w:p>
    <w:p>
      <w:pPr/>
      <w:r>
        <w:t>Include dividends/distributions, fees, FX, taxes, funding and contractual realities as appropriate; simple period return = total P&amp;L ÷ opening NAV.</w:t>
      </w:r>
    </w:p>
    <w:p>
      <w:pPr>
        <w:pStyle w:val="Heading3"/>
        <w:keepNext/>
        <w:keepLines/>
      </w:pPr>
      <w:r>
        <w:t>Futures sensitivity — S52</w:t>
      </w:r>
    </w:p>
    <w:p>
      <w:r>
        <w:rPr>
          <w:b/>
          <w:color w:val="144977"/>
          <w:sz w:val="22"/>
        </w:rPr>
        <w:t>10 contracts × 1,000 bbl × $100/bbl = $1m notional; ΔP&amp;L = 10 × 1,000 × $5 = $50,000</w:t>
      </w:r>
    </w:p>
    <w:p>
      <w:pPr/>
      <w:r>
        <w:t>A $5 adverse move changes P&amp;L by −$50k for a long position; hypothetical margin of $70k is collateral, not the loss bound.</w:t>
      </w:r>
    </w:p>
    <w:p>
      <w:pPr>
        <w:pStyle w:val="Heading1"/>
        <w:keepNext/>
        <w:keepLines/>
      </w:pPr>
      <w:r>
        <w:t>Six risk-model roles — one-page reference</w:t>
      </w:r>
    </w:p>
    <w:tbl>
      <w:tblPr>
        <w:tblStyle w:val="TableGrid"/>
        <w:tblW w:type="auto" w:w="0"/>
        <w:jc w:val="center"/>
        <w:tblLook w:firstColumn="1" w:firstRow="1" w:lastColumn="0" w:lastRow="0" w:noHBand="0" w:noVBand="1" w:val="04A0"/>
      </w:tblPr>
      <w:tblGrid>
        <w:gridCol w:w="3163"/>
        <w:gridCol w:w="3163"/>
        <w:gridCol w:w="3163"/>
      </w:tblGrid>
      <w:tr>
        <w:tc>
          <w:tcPr>
            <w:tcW w:type="dxa" w:w="3163"/>
            <w:vAlign w:val="center"/>
            <w:shd w:fill="183F63"/>
          </w:tcPr>
          <w:p>
            <w:r>
              <w:rPr>
                <w:b/>
                <w:color w:val="FFFFFF"/>
                <w:sz w:val="18"/>
              </w:rPr>
              <w:t>Tool</w:t>
            </w:r>
          </w:p>
        </w:tc>
        <w:tc>
          <w:tcPr>
            <w:tcW w:type="dxa" w:w="3163"/>
            <w:vAlign w:val="center"/>
            <w:shd w:fill="183F63"/>
          </w:tcPr>
          <w:p>
            <w:r>
              <w:rPr>
                <w:b/>
                <w:color w:val="FFFFFF"/>
                <w:sz w:val="18"/>
              </w:rPr>
              <w:t>What it answers</w:t>
            </w:r>
          </w:p>
        </w:tc>
        <w:tc>
          <w:tcPr>
            <w:tcW w:type="dxa" w:w="3163"/>
            <w:vAlign w:val="center"/>
            <w:shd w:fill="183F63"/>
          </w:tcPr>
          <w:p>
            <w:r>
              <w:rPr>
                <w:b/>
                <w:color w:val="FFFFFF"/>
                <w:sz w:val="18"/>
              </w:rPr>
              <w:t>Limitation to disclose</w:t>
            </w:r>
          </w:p>
        </w:tc>
      </w:tr>
      <w:tr>
        <w:tc>
          <w:tcPr>
            <w:tcW w:type="dxa" w:w="3163"/>
            <w:vAlign w:val="center"/>
          </w:tcPr>
          <w:p>
            <w:r>
              <w:rPr>
                <w:sz w:val="17"/>
              </w:rPr>
              <w:t>Volatility</w:t>
            </w:r>
          </w:p>
        </w:tc>
        <w:tc>
          <w:tcPr>
            <w:tcW w:type="dxa" w:w="3163"/>
            <w:vAlign w:val="center"/>
          </w:tcPr>
          <w:p>
            <w:r>
              <w:rPr>
                <w:sz w:val="17"/>
              </w:rPr>
              <w:t>Typical size of fluctuations</w:t>
            </w:r>
          </w:p>
        </w:tc>
        <w:tc>
          <w:tcPr>
            <w:tcW w:type="dxa" w:w="3163"/>
            <w:vAlign w:val="center"/>
          </w:tcPr>
          <w:p>
            <w:r>
              <w:rPr>
                <w:sz w:val="17"/>
              </w:rPr>
              <w:t>Does not isolate tail loss severity</w:t>
            </w:r>
          </w:p>
        </w:tc>
      </w:tr>
      <w:tr>
        <w:tc>
          <w:tcPr>
            <w:tcW w:type="dxa" w:w="3163"/>
            <w:vAlign w:val="center"/>
            <w:shd w:fill="EFF4F8"/>
          </w:tcPr>
          <w:p>
            <w:r>
              <w:rPr>
                <w:sz w:val="17"/>
              </w:rPr>
              <w:t>VaR</w:t>
            </w:r>
          </w:p>
        </w:tc>
        <w:tc>
          <w:tcPr>
            <w:tcW w:type="dxa" w:w="3163"/>
            <w:vAlign w:val="center"/>
            <w:shd w:fill="EFF4F8"/>
          </w:tcPr>
          <w:p>
            <w:r>
              <w:rPr>
                <w:sz w:val="17"/>
              </w:rPr>
              <w:t>Tail-loss threshold at stated confidence/horizon</w:t>
            </w:r>
          </w:p>
        </w:tc>
        <w:tc>
          <w:tcPr>
            <w:tcW w:type="dxa" w:w="3163"/>
            <w:vAlign w:val="center"/>
            <w:shd w:fill="EFF4F8"/>
          </w:tcPr>
          <w:p>
            <w:r>
              <w:rPr>
                <w:sz w:val="17"/>
              </w:rPr>
              <w:t>Does not tell how large exceedances are</w:t>
            </w:r>
          </w:p>
        </w:tc>
      </w:tr>
      <w:tr>
        <w:tc>
          <w:tcPr>
            <w:tcW w:type="dxa" w:w="3163"/>
            <w:vAlign w:val="center"/>
          </w:tcPr>
          <w:p>
            <w:r>
              <w:rPr>
                <w:sz w:val="17"/>
              </w:rPr>
              <w:t>ES</w:t>
            </w:r>
          </w:p>
        </w:tc>
        <w:tc>
          <w:tcPr>
            <w:tcW w:type="dxa" w:w="3163"/>
            <w:vAlign w:val="center"/>
          </w:tcPr>
          <w:p>
            <w:r>
              <w:rPr>
                <w:sz w:val="17"/>
              </w:rPr>
              <w:t>Average loss in specified worst tail</w:t>
            </w:r>
          </w:p>
        </w:tc>
        <w:tc>
          <w:tcPr>
            <w:tcW w:type="dxa" w:w="3163"/>
            <w:vAlign w:val="center"/>
          </w:tcPr>
          <w:p>
            <w:r>
              <w:rPr>
                <w:sz w:val="17"/>
              </w:rPr>
              <w:t>Model uncertainty; needs clear horizon/confidence</w:t>
            </w:r>
          </w:p>
        </w:tc>
      </w:tr>
      <w:tr>
        <w:tc>
          <w:tcPr>
            <w:tcW w:type="dxa" w:w="3163"/>
            <w:vAlign w:val="center"/>
            <w:shd w:fill="EFF4F8"/>
          </w:tcPr>
          <w:p>
            <w:r>
              <w:rPr>
                <w:sz w:val="17"/>
              </w:rPr>
              <w:t>EVT</w:t>
            </w:r>
          </w:p>
        </w:tc>
        <w:tc>
          <w:tcPr>
            <w:tcW w:type="dxa" w:w="3163"/>
            <w:vAlign w:val="center"/>
            <w:shd w:fill="EFF4F8"/>
          </w:tcPr>
          <w:p>
            <w:r>
              <w:rPr>
                <w:sz w:val="17"/>
              </w:rPr>
              <w:t>Statistical behavior of rare extremes</w:t>
            </w:r>
          </w:p>
        </w:tc>
        <w:tc>
          <w:tcPr>
            <w:tcW w:type="dxa" w:w="3163"/>
            <w:vAlign w:val="center"/>
            <w:shd w:fill="EFF4F8"/>
          </w:tcPr>
          <w:p>
            <w:r>
              <w:rPr>
                <w:sz w:val="17"/>
              </w:rPr>
              <w:t>Few tail observations; uncertain extrapolation</w:t>
            </w:r>
          </w:p>
        </w:tc>
      </w:tr>
      <w:tr>
        <w:tc>
          <w:tcPr>
            <w:tcW w:type="dxa" w:w="3163"/>
            <w:vAlign w:val="center"/>
          </w:tcPr>
          <w:p>
            <w:r>
              <w:rPr>
                <w:sz w:val="17"/>
              </w:rPr>
              <w:t>Copula</w:t>
            </w:r>
          </w:p>
        </w:tc>
        <w:tc>
          <w:tcPr>
            <w:tcW w:type="dxa" w:w="3163"/>
            <w:vAlign w:val="center"/>
          </w:tcPr>
          <w:p>
            <w:r>
              <w:rPr>
                <w:sz w:val="17"/>
              </w:rPr>
              <w:t>Joint dependence and crash co-occurrence</w:t>
            </w:r>
          </w:p>
        </w:tc>
        <w:tc>
          <w:tcPr>
            <w:tcW w:type="dxa" w:w="3163"/>
            <w:vAlign w:val="center"/>
          </w:tcPr>
          <w:p>
            <w:r>
              <w:rPr>
                <w:sz w:val="17"/>
              </w:rPr>
              <w:t>Model choice and goodness-of-fit matter</w:t>
            </w:r>
          </w:p>
        </w:tc>
      </w:tr>
      <w:tr>
        <w:tc>
          <w:tcPr>
            <w:tcW w:type="dxa" w:w="3163"/>
            <w:vAlign w:val="center"/>
            <w:shd w:fill="EFF4F8"/>
          </w:tcPr>
          <w:p>
            <w:r>
              <w:rPr>
                <w:sz w:val="17"/>
              </w:rPr>
              <w:t>Wavelets</w:t>
            </w:r>
          </w:p>
        </w:tc>
        <w:tc>
          <w:tcPr>
            <w:tcW w:type="dxa" w:w="3163"/>
            <w:vAlign w:val="center"/>
            <w:shd w:fill="EFF4F8"/>
          </w:tcPr>
          <w:p>
            <w:r>
              <w:rPr>
                <w:sz w:val="17"/>
              </w:rPr>
              <w:t>Dependence at different times/horizons</w:t>
            </w:r>
          </w:p>
        </w:tc>
        <w:tc>
          <w:tcPr>
            <w:tcW w:type="dxa" w:w="3163"/>
            <w:vAlign w:val="center"/>
            <w:shd w:fill="EFF4F8"/>
          </w:tcPr>
          <w:p>
            <w:r>
              <w:rPr>
                <w:sz w:val="17"/>
              </w:rPr>
              <w:t>Edge, scale, leakage and significance cautions</w:t>
            </w:r>
          </w:p>
        </w:tc>
      </w:tr>
    </w:tbl>
    <w:p>
      <w:pPr>
        <w:pStyle w:val="Heading1"/>
        <w:keepNext/>
        <w:keepLines/>
      </w:pPr>
      <w:r>
        <w:t>Proposed QuantEdge operating rules from Batch 03</w:t>
      </w:r>
    </w:p>
    <w:p>
      <w:pPr>
        <w:pStyle w:val="SmallMuted"/>
      </w:pPr>
      <w:r>
        <w:t>These are decisions we propose to implement using the masterclass as evidence. They are not asserted as final official competition conditions.</w:t>
      </w:r>
    </w:p>
    <w:p>
      <w:pPr>
        <w:pStyle w:val="ListBullet"/>
      </w:pPr>
      <w:r>
        <w:rPr>
          <w:b/>
        </w:rPr>
        <w:t xml:space="preserve">[D1 — Instrument consistency (S41–S44)] </w:t>
      </w:r>
      <w:r>
        <w:t>Approve only instruments that match the stated trade and eligible universe; keep exchange/expiry and base-currency rules explicit.</w:t>
      </w:r>
    </w:p>
    <w:p>
      <w:pPr>
        <w:pStyle w:val="ListBullet"/>
      </w:pPr>
      <w:r>
        <w:rPr>
          <w:b/>
        </w:rPr>
        <w:t xml:space="preserve">[P1 — Two-layer position ledger (S45–S48, S52)] </w:t>
      </w:r>
      <w:r>
        <w:t>Track funded asset value, cash, signed derivative notional, posted margin, collateral cash flows and daily NAV P&amp;L separately.</w:t>
      </w:r>
    </w:p>
    <w:p>
      <w:pPr>
        <w:pStyle w:val="ListBullet"/>
      </w:pPr>
      <w:r>
        <w:rPr>
          <w:b/>
        </w:rPr>
        <w:t xml:space="preserve">[P2 — Risk-constrained portfolio selection (S49, S51)] </w:t>
      </w:r>
      <w:r>
        <w:t>Estimate inputs with uncertainty diagnostics; enforce concentration, liquidity, return objective, downside limits and turnover at optimization time.</w:t>
      </w:r>
    </w:p>
    <w:p>
      <w:pPr>
        <w:pStyle w:val="ListBullet"/>
      </w:pPr>
      <w:r>
        <w:rPr>
          <w:b/>
        </w:rPr>
        <w:t xml:space="preserve">[P3 — Left-tail co-loss stress (S50, S60)] </w:t>
      </w:r>
      <w:r>
        <w:t>Evaluate adverse joint equity/bond/commodity moves and sensitivity to stressed correlations, not only average variance.</w:t>
      </w:r>
    </w:p>
    <w:p>
      <w:pPr>
        <w:pStyle w:val="ListBullet"/>
      </w:pPr>
      <w:r>
        <w:rPr>
          <w:b/>
        </w:rPr>
        <w:t xml:space="preserve">[G1 — Model-to-action explanation (S54–S58)] </w:t>
      </w:r>
      <w:r>
        <w:t>For each output require units, horizon, benchmark, estimation/sample period, uncertainty and the decision it changes.</w:t>
      </w:r>
    </w:p>
    <w:p>
      <w:pPr>
        <w:pStyle w:val="ListBullet"/>
      </w:pPr>
      <w:r>
        <w:rPr>
          <w:b/>
        </w:rPr>
        <w:t xml:space="preserve">[G2 — Tradability gate (S56–S57)] </w:t>
      </w:r>
      <w:r>
        <w:t>Do not recommend a position unless forecast edge clears costs and risk budget; size in actual units and monitor the exposure.</w:t>
      </w:r>
    </w:p>
    <w:p>
      <w:pPr>
        <w:pStyle w:val="ListBullet"/>
      </w:pPr>
      <w:r>
        <w:rPr>
          <w:b/>
        </w:rPr>
        <w:t xml:space="preserve">[G3 — Risk-metric taxonomy (S59–S60)] </w:t>
      </w:r>
      <w:r>
        <w:t>Use volatility, VaR, ES, EVT, copulas and wavelets only for the questions they answer; verify each model rather than averaging dissimilar numbers.</w:t>
      </w:r>
    </w:p>
    <w:p>
      <w:pPr>
        <w:pStyle w:val="ListBullet"/>
      </w:pPr>
      <w:r>
        <w:rPr>
          <w:b/>
        </w:rPr>
        <w:t xml:space="preserve">[G4 — Official-rule verification (S42, S45–S46, S51)] </w:t>
      </w:r>
      <w:r>
        <w:t>Separate masterclass illustrations from locked competition rules and decisions adopted by the team.</w:t>
      </w:r>
    </w:p>
    <w:p>
      <w:pPr>
        <w:pStyle w:val="Heading1"/>
        <w:keepNext/>
        <w:keepLines/>
      </w:pPr>
      <w:r>
        <w:t>Questions and decisions for project implementation</w:t>
      </w:r>
    </w:p>
    <w:p>
      <w:pPr>
        <w:pStyle w:val="ListNumber"/>
      </w:pPr>
      <w:r>
        <w:t>Is our approved universe limited to funded ETFs, or does the official competition authorize specific futures or currency derivatives? This slide batch cannot establish the answer.</w:t>
      </w:r>
    </w:p>
    <w:p>
      <w:pPr>
        <w:pStyle w:val="ListNumber"/>
      </w:pPr>
      <w:r>
        <w:t>What minimum real/net return, liquidity reserve and acceptable annual/short-horizon loss limits follow from the conservative USD 10m, three-year client mandate? The lecture supplies no numerical thresholds.</w:t>
      </w:r>
    </w:p>
    <w:p>
      <w:pPr>
        <w:pStyle w:val="ListNumber"/>
      </w:pPr>
      <w:r>
        <w:t>Which allocation method is the primary candidate—minimum variance with return floor, risk-capped expected-return maximization, or another constrained objective—and why?</w:t>
      </w:r>
    </w:p>
    <w:p>
      <w:pPr>
        <w:pStyle w:val="ListNumber"/>
      </w:pPr>
      <w:r>
        <w:t>How will estimation uncertainty in expected returns and covariance be controlled (e.g., shrinkage, stable inputs, bounded weights, tests against alternative windows)?</w:t>
      </w:r>
    </w:p>
    <w:p>
      <w:pPr>
        <w:pStyle w:val="ListNumber"/>
      </w:pPr>
      <w:r>
        <w:t>Can a single NAV/P&amp;L ledger reconcile ETF distributions, futures signed P&amp;L (if approved), cash yield, deposits, margin and costs without double-counting?</w:t>
      </w:r>
    </w:p>
    <w:p>
      <w:pPr>
        <w:pStyle w:val="ListNumber"/>
      </w:pPr>
      <w:r>
        <w:t>Do concentration, liquidity, turnover, drawdown, VaR, ES and stress-loss checks run before a portfolio is declared suitable?</w:t>
      </w:r>
    </w:p>
    <w:p>
      <w:pPr>
        <w:pStyle w:val="ListNumber"/>
      </w:pPr>
      <w:r>
        <w:t>Does each model/chart expose its estimate horizon, units, benchmark, confidence/uncertainty and out-of-sample validity?</w:t>
      </w:r>
    </w:p>
    <w:p>
      <w:pPr>
        <w:pStyle w:val="ListNumber"/>
      </w:pPr>
      <w:r>
        <w:t>What decision is taken if historical correlation is low but simulated common-loss risk breaches the client budget?</w:t>
      </w:r>
    </w:p>
    <w:p>
      <w:pPr>
        <w:pStyle w:val="ListNumber"/>
      </w:pPr>
      <w:r>
        <w:t>What threshold forces a no-trade, smaller allocation, hedge, review or exit when cost-adjusted expected edge is uncertain?</w:t>
      </w:r>
    </w:p>
    <w:p>
      <w:pPr>
        <w:pStyle w:val="ListNumber"/>
      </w:pPr>
      <w:r>
        <w:t>Which exact outputs—allocation table, dollar risk numbers, stress scenarios and assumptions—will appear in the investment committee memo and Streamlit decision panel?</w:t>
      </w:r>
    </w:p>
    <w:p>
      <w:pPr>
        <w:pStyle w:val="Heading1"/>
        <w:keepNext/>
        <w:keepLines/>
      </w:pPr>
      <w:r>
        <w:t>Knowledge-bank continuity and next batch</w:t>
      </w:r>
    </w:p>
    <w:p>
      <w:pPr>
        <w:pStyle w:val="ListBullet"/>
      </w:pPr>
      <w:r>
        <w:t>Stable IDs: Batch 01 = B01-S01–S20; Batch 02 = B02-S21–S40; Batch 03 = B03-S41–S60.</w:t>
      </w:r>
    </w:p>
    <w:p>
      <w:pPr>
        <w:pStyle w:val="ListBullet"/>
      </w:pPr>
      <w:r>
        <w:t>Preserve three distinct layers in every future answer: what the source states, what the lecturer cautions, and what we propose for QuantEdge.</w:t>
      </w:r>
    </w:p>
    <w:p>
      <w:pPr>
        <w:pStyle w:val="ListBullet"/>
      </w:pPr>
      <w:r>
        <w:t>Core principle: Optimize for a suitable, cost-adjusted, downside-aware investment decision—not the highest standalone model score.</w:t>
      </w:r>
    </w:p>
    <w:p>
      <w:pPr>
        <w:pStyle w:val="ListBullet"/>
      </w:pPr>
      <w:r>
        <w:t>Next analysis range: Slides 61–80, covering VaR/ES, EVT, copulas, wavelets, ML, backtesting and committee recommendations.</w:t>
      </w:r>
    </w:p>
    <w:p>
      <w:pPr>
        <w:pStyle w:val="ListBullet"/>
      </w:pPr>
      <w:r>
        <w:t>Confirm final eligibility, scoring, and risk rules from official organizer materials; the masterclass refers to draft competition content.</w:t>
      </w:r>
    </w:p>
    <w:p>
      <w:pPr>
        <w:pStyle w:val="SmallMuted"/>
      </w:pPr>
      <w:r>
        <w:t>Provenance: uploaded EDGEFORGE 2026 masterclass, slides 41–60, original slide text and presenter notes. Any lecture number not otherwise sourced is illustrative, not a live quote or portfolio estimate.</w:t>
      </w:r>
    </w:p>
    <w:sectPr w:rsidR="00FC693F" w:rsidRPr="0006063C" w:rsidSect="00034616">
      <w:headerReference w:type="default" r:id="rId9"/>
      <w:footerReference w:type="default" r:id="rId10"/>
      <w:pgSz w:w="11909" w:h="16834"/>
      <w:pgMar w:top="1181"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576"/>
        <w:sz w:val="16"/>
      </w:rPr>
      <w:t xml:space="preserve">EDGEFORGE MASTERCLASS  •  BATCH 03  •  SLIDES 41–60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Bdr>
        <w:bottom w:val="single" w:sz="8" w:color="D5E3EA"/>
      </w:pBdr>
    </w:pPr>
    <w:r>
      <w:t>QUANTEDGE 1.0  /  KNOWLEDGE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528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ptos Display" w:hAnsi="Aptos Display"/>
      <w:b/>
      <w:bCs/>
      <w:color w:val="15283D"/>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15283D"/>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167B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20"/>
      <w:contextualSpacing/>
    </w:pPr>
    <w:rPr>
      <w:rFonts w:asciiTheme="majorHAnsi" w:eastAsiaTheme="majorEastAsia" w:hAnsiTheme="majorHAnsi" w:cstheme="majorBidi" w:ascii="Aptos Display" w:hAnsi="Aptos Display"/>
      <w:b/>
      <w:color w:val="1528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100"/>
    </w:pPr>
    <w:rPr>
      <w:rFonts w:ascii="Aptos" w:hAnsi="Aptos"/>
      <w:color w:val="5265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QuantEdge Knowledge Analysis — Batch 03, Slides 41–60</dc:title>
  <dc:subject>EDGEFORGE Masterclass source-grounded finance and competition analysis</dc:subject>
  <dc:creator>QuantEdge Research Notes</dc:creator>
  <cp:keywords>QuantEdge; portfolio construction; efficient frontier; GARCH; derivative notional; VaR; ES</cp:keywords>
  <dc:description>generated by python-docx</dc:description>
  <cp:lastModifiedBy/>
  <cp:revision>1</cp:revision>
  <dcterms:created xsi:type="dcterms:W3CDTF">2013-12-23T23:15:00Z</dcterms:created>
  <dcterms:modified xsi:type="dcterms:W3CDTF">2013-12-23T23:15:00Z</dcterms:modified>
  <cp:category/>
</cp:coreProperties>
</file>