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COMPETITION RESEARCH / SOURCE-ANCHORED ANALYSIS</w:t>
      </w:r>
    </w:p>
    <w:p>
      <w:pPr>
        <w:pStyle w:val="Title"/>
      </w:pPr>
      <w:r>
        <w:t>QuantEdge Knowledge Analysis</w:t>
      </w:r>
    </w:p>
    <w:p>
      <w:r>
        <w:rPr>
          <w:b/>
          <w:color w:val="009084"/>
          <w:sz w:val="24"/>
        </w:rPr>
        <w:t>Batch 05  |  Slides 81–99 of 99</w:t>
      </w:r>
    </w:p>
    <w:p>
      <w:pPr>
        <w:pStyle w:val="SmallNote"/>
      </w:pPr>
      <w:r>
        <w:t>EDGEFORGE 2026 — From Financial Markets to Quantitative Investment Decisions</w:t>
      </w:r>
    </w:p>
    <w:p>
      <w:pPr>
        <w:pStyle w:val="SmallNote"/>
      </w:pPr>
      <w:r>
        <w:t>Prepared 27 October 2026  •  Source: uploaded PowerPoint and presenter notes  •  No external verification applied</w:t>
      </w:r>
    </w:p>
    <w:p>
      <w:pPr/>
      <w:r>
        <w:rPr>
          <w:b/>
          <w:color w:val="009084"/>
        </w:rPr>
        <w:t xml:space="preserve">Purpose.  </w:t>
      </w:r>
      <w:r>
        <w:t>Complete the five-batch extraction of the masterclass. This final section translates the competition-ready app architecture and the technical appendix into traceable calculation definitions, interpretive cautions and project actions. Each claim is tied to a slide and source-derived facts are kept separate from recommendations.</w:t>
      </w:r>
    </w:p>
    <w:p>
      <w:pPr/>
      <w:r>
        <w:rPr>
          <w:b/>
          <w:color w:val="009084"/>
        </w:rPr>
        <w:t xml:space="preserve">Authority boundary.  </w:t>
      </w:r>
      <w:r>
        <w:t>Competition deliverables, judging weights, universe and other requirements referenced through the uploaded concept draft are not assumed final. Verify such items with the official competition brief and current exchange/broker instructions.</w:t>
      </w:r>
    </w:p>
    <w:p>
      <w:pPr>
        <w:pStyle w:val="Heading1"/>
      </w:pPr>
      <w:r>
        <w:t>Executive findings</w:t>
      </w:r>
    </w:p>
    <w:p>
      <w:r>
        <w:rPr>
          <w:b/>
          <w:color w:val="112737"/>
        </w:rPr>
        <w:t xml:space="preserve">01  One consistent pipeline, not fragmented model outputs.  </w:t>
      </w:r>
      <w:r>
        <w:t>Slide 81: the application should reconcile data, position ledger, risk analysis and the final committee decision.</w:t>
      </w:r>
    </w:p>
    <w:p>
      <w:r>
        <w:rPr>
          <w:b/>
          <w:color w:val="112737"/>
        </w:rPr>
        <w:t xml:space="preserve">02  The final investment case must be transparent and suitable.  </w:t>
      </w:r>
      <w:r>
        <w:t>Slides 81–83: explain the instrument, cash movements, evidence quality, reproducibility and client suitability.</w:t>
      </w:r>
    </w:p>
    <w:p>
      <w:r>
        <w:rPr>
          <w:b/>
          <w:color w:val="112737"/>
        </w:rPr>
        <w:t xml:space="preserve">03  Return and futures accounting come before modeling.  </w:t>
      </w:r>
      <w:r>
        <w:t>Slides 84–86 and 97: dividends, FX, cost of carry, signed contracts, variation margin, collateral and NAV are distinct concepts.</w:t>
      </w:r>
    </w:p>
    <w:p>
      <w:r>
        <w:rPr>
          <w:b/>
          <w:color w:val="112737"/>
        </w:rPr>
        <w:t xml:space="preserve">04  Conservative optimization requires explicit constraints.  </w:t>
      </w:r>
      <w:r>
        <w:t>Slides 87–89: interest-rate risk and risk contributions matter; estimated returns and covariances can produce unstable weights.</w:t>
      </w:r>
    </w:p>
    <w:p>
      <w:r>
        <w:rPr>
          <w:b/>
          <w:color w:val="112737"/>
        </w:rPr>
        <w:t xml:space="preserve">05  Tail risk needs several complementary tools.  </w:t>
      </w:r>
      <w:r>
        <w:t>Slides 90–93: normal VaR is a baseline; ES measures severity; EVT addresses exceedances; copulas address joint dependence.</w:t>
      </w:r>
    </w:p>
    <w:p>
      <w:r>
        <w:rPr>
          <w:b/>
          <w:color w:val="112737"/>
        </w:rPr>
        <w:t xml:space="preserve">06  Validation must be real and chronological.  </w:t>
      </w:r>
      <w:r>
        <w:t>Slides 94–95: compare observed loss breaches with prior forecasts, evaluate clustering and test strategy P&amp;L after costs.</w:t>
      </w:r>
    </w:p>
    <w:p>
      <w:r>
        <w:rPr>
          <w:b/>
          <w:color w:val="112737"/>
        </w:rPr>
        <w:t xml:space="preserve">07  Horizon-aware extensions need additional safeguards.  </w:t>
      </w:r>
      <w:r>
        <w:t>Slides 96 and 98: tail dependence and coherence answer different questions; both require substantial uncertainty controls.</w:t>
      </w:r>
    </w:p>
    <w:p>
      <w:r>
        <w:rPr>
          <w:b/>
          <w:color w:val="112737"/>
        </w:rPr>
        <w:t xml:space="preserve">08  Authority must be kept explicit.  </w:t>
      </w:r>
      <w:r>
        <w:t>Slides 81 and 99: some deliverables and rubric information trace to a draft competition concept, not verified final rules.</w:t>
      </w:r>
    </w:p>
    <w:p>
      <w:pPr>
        <w:pStyle w:val="Heading2"/>
      </w:pPr>
      <w:r>
        <w:t>How the analysis is organized</w:t>
      </w:r>
    </w:p>
    <w:p>
      <w:pPr/>
      <w:r>
        <w:rPr>
          <w:b/>
          <w:color w:val="009084"/>
        </w:rPr>
        <w:t xml:space="preserve">SOURCE ESSENCE  </w:t>
      </w:r>
      <w:r>
        <w:t>Restates visible slide text or speaker notes.</w:t>
      </w:r>
    </w:p>
    <w:p>
      <w:pPr/>
      <w:r>
        <w:rPr>
          <w:b/>
          <w:color w:val="009084"/>
        </w:rPr>
        <w:t xml:space="preserve">CONCEPT  </w:t>
      </w:r>
      <w:r>
        <w:t>Explains the lecture in plain finance terms.</w:t>
      </w:r>
    </w:p>
    <w:p>
      <w:pPr/>
      <w:r>
        <w:rPr>
          <w:b/>
          <w:color w:val="009084"/>
        </w:rPr>
        <w:t xml:space="preserve">QUANTEDGE APPLICATION  </w:t>
      </w:r>
      <w:r>
        <w:t>A derived, suggested use in the project, not a confirmed competition requirement.</w:t>
      </w:r>
    </w:p>
    <w:p>
      <w:pPr/>
      <w:r>
        <w:rPr>
          <w:b/>
          <w:color w:val="009084"/>
        </w:rPr>
        <w:t xml:space="preserve">CRITICAL CAUTION  </w:t>
      </w:r>
      <w:r>
        <w:t>Defines uncertainty, model assumptions and potential misinterpretations.</w:t>
      </w:r>
    </w:p>
    <w:p>
      <w:pPr>
        <w:pStyle w:val="Heading1"/>
      </w:pPr>
      <w:r>
        <w:t>Slide-by-slide content analysis</w:t>
      </w:r>
    </w:p>
    <w:p>
      <w:pPr>
        <w:pStyle w:val="SmallNote"/>
      </w:pPr>
      <w:r>
        <w:t>Stable references B05-S81 to B05-S99 identify exact slide positions in the uploaded 99-slide deck.</w:t>
      </w:r>
    </w:p>
    <w:p>
      <w:pPr>
        <w:pStyle w:val="Heading2"/>
      </w:pPr>
      <w:r>
        <w:t>B05-S81  |  Slide 81: A competition-ready Streamlit research system</w:t>
      </w:r>
    </w:p>
    <w:p>
      <w:pPr>
        <w:pStyle w:val="Eyebrow"/>
        <w:keepNext/>
      </w:pPr>
      <w:r>
        <w:t>TOPIC  END-TO-END RESEARCH SOFTWARE AND DECISION INTERFACE</w:t>
      </w:r>
    </w:p>
    <w:p>
      <w:pPr/>
      <w:r>
        <w:rPr>
          <w:b/>
          <w:color w:val="009084"/>
        </w:rPr>
        <w:t xml:space="preserve">Source essence:  </w:t>
      </w:r>
      <w:r>
        <w:t>The slide defines four coherent app layers: (1) market-data provenance, adjustments, expiry alignment and reproducible cleaning; (2) actual positions, contract counts, multipliers, collateral and rolling schedules; (3) return, drawdown, VaR/ES/EVT, validation and stress panels; (4) a decision page with recommendation, costs, risk limits and weaknesses. The presenter notes mention repository, application, report, tear sheet and pitch as deliverables in the uploaded draft.</w:t>
      </w:r>
    </w:p>
    <w:p>
      <w:pPr/>
      <w:r>
        <w:rPr>
          <w:b/>
          <w:color w:val="009084"/>
        </w:rPr>
        <w:t xml:space="preserve">Concept / explanation:  </w:t>
      </w:r>
      <w:r>
        <w:t>A dashboard is only useful if every output comes from one consistent position and cash-flow ledger. The same holdings, NAV clock, data cut-off, and risk conventions should feed the charts, model comparisons and committee recommendation.</w:t>
      </w:r>
    </w:p>
    <w:p>
      <w:pPr/>
      <w:r>
        <w:rPr>
          <w:b/>
          <w:color w:val="009084"/>
        </w:rPr>
        <w:t xml:space="preserve">QuantEdge application:  </w:t>
      </w:r>
      <w:r>
        <w:t>Design a single reproducible data → positions/P&amp;L → risk/backtest → scenarios → decision pipeline. Let users select model and confidence level, but compare quantities only when the horizon, loss definition and units match. Export portfolio exposure and scenario P&amp;L tables.</w:t>
      </w:r>
    </w:p>
    <w:p>
      <w:pPr/>
      <w:r>
        <w:rPr>
          <w:b/>
          <w:color w:val="009084"/>
        </w:rPr>
        <w:t xml:space="preserve">Critical caution:  </w:t>
      </w:r>
      <w:r>
        <w:t>The deliverable list is attributed to a draft; confirm organizer requirements. Avoid separate panels that silently use inconsistent portfolios, historical windows, or futures accounting.</w:t>
      </w:r>
    </w:p>
    <w:p>
      <w:pPr>
        <w:pStyle w:val="Heading2"/>
      </w:pPr>
      <w:r>
        <w:t>B05-S82  |  Slide 82: The investment researcher’s five commitments</w:t>
      </w:r>
    </w:p>
    <w:p>
      <w:pPr>
        <w:pStyle w:val="Eyebrow"/>
        <w:keepNext/>
      </w:pPr>
      <w:r>
        <w:t>TOPIC  DECISION-QUALITY PRINCIPLES</w:t>
      </w:r>
    </w:p>
    <w:p>
      <w:pPr/>
      <w:r>
        <w:rPr>
          <w:b/>
          <w:color w:val="009084"/>
        </w:rPr>
        <w:t xml:space="preserve">Source essence:  </w:t>
      </w:r>
      <w:r>
        <w:t>Closing sequence: understand the asset; trace cash flows; model risks; validate forecasts; defend the decision. The slide highlights transparency, reproducibility and suitability.</w:t>
      </w:r>
    </w:p>
    <w:p>
      <w:pPr/>
      <w:r>
        <w:rPr>
          <w:b/>
          <w:color w:val="009084"/>
        </w:rPr>
        <w:t xml:space="preserve">Concept / explanation:  </w:t>
      </w:r>
      <w:r>
        <w:t>Each stage is dependent on the one before it: the right mathematics cannot rescue a model of the wrong instrument. A conservative-client recommendation should be transparent about both what the portfolio may earn and how it can fail.</w:t>
      </w:r>
    </w:p>
    <w:p>
      <w:pPr/>
      <w:r>
        <w:rPr>
          <w:b/>
          <w:color w:val="009084"/>
        </w:rPr>
        <w:t xml:space="preserve">QuantEdge application:  </w:t>
      </w:r>
      <w:r>
        <w:t>Use these five commitments as a final readiness gate in the investment memo and application QA. Require clear statement of tradable holdings, audit-ready NAV, tested downside numbers and a specific buy/hold/rebalance/reject decision.</w:t>
      </w:r>
    </w:p>
    <w:p>
      <w:pPr/>
      <w:r>
        <w:rPr>
          <w:b/>
          <w:color w:val="009084"/>
        </w:rPr>
        <w:t xml:space="preserve">Critical caution:  </w:t>
      </w:r>
      <w:r>
        <w:t>These principles are teaching guidance, not measurable organizer scoring criteria.</w:t>
      </w:r>
    </w:p>
    <w:p>
      <w:pPr>
        <w:pStyle w:val="Heading2"/>
      </w:pPr>
      <w:r>
        <w:t>B05-S83  |  Slide 83: Technical appendix: formulas and methodological cautions</w:t>
      </w:r>
    </w:p>
    <w:p>
      <w:pPr>
        <w:pStyle w:val="Eyebrow"/>
        <w:keepNext/>
      </w:pPr>
      <w:r>
        <w:t>TOPIC  HOW TO USE THE TECHNICAL REFERENCE</w:t>
      </w:r>
    </w:p>
    <w:p>
      <w:pPr/>
      <w:r>
        <w:rPr>
          <w:b/>
          <w:color w:val="009084"/>
        </w:rPr>
        <w:t xml:space="preserve">Source essence:  </w:t>
      </w:r>
      <w:r>
        <w:t>Slide 83 introduces a reference appendix for deeper discussion and research. Presenter notes advise using these slides selectively in Q&amp;A or as student reference material.</w:t>
      </w:r>
    </w:p>
    <w:p>
      <w:pPr/>
      <w:r>
        <w:rPr>
          <w:b/>
          <w:color w:val="009084"/>
        </w:rPr>
        <w:t xml:space="preserve">Concept / explanation:  </w:t>
      </w:r>
      <w:r>
        <w:t>Equations are not stand-alone recipes. Each requires a precise definition of instrument, observations, statistical assumptions, currency, horizon and interpretation.</w:t>
      </w:r>
    </w:p>
    <w:p>
      <w:pPr/>
      <w:r>
        <w:rPr>
          <w:b/>
          <w:color w:val="009084"/>
        </w:rPr>
        <w:t xml:space="preserve">QuantEdge application:  </w:t>
      </w:r>
      <w:r>
        <w:t>Create a formal calculation dictionary in our repository: formula, input fields, time scale, sign convention, unit test and committee-facing explanation for each metric below.</w:t>
      </w:r>
    </w:p>
    <w:p>
      <w:pPr/>
      <w:r>
        <w:rPr>
          <w:b/>
          <w:color w:val="009084"/>
        </w:rPr>
        <w:t xml:space="preserve">Critical caution:  </w:t>
      </w:r>
      <w:r>
        <w:t>The appendix is conceptual teaching material; it is not proof that a particular estimator or implementation has been approved or validated.</w:t>
      </w:r>
    </w:p>
    <w:p>
      <w:pPr>
        <w:pStyle w:val="Heading2"/>
      </w:pPr>
      <w:r>
        <w:t>B05-S84  |  Slide 84: Return conventions and cash-flow consistency</w:t>
      </w:r>
    </w:p>
    <w:p>
      <w:pPr>
        <w:pStyle w:val="Eyebrow"/>
        <w:keepNext/>
      </w:pPr>
      <w:r>
        <w:t>TOPIC  SIMPLE RETURNS, LOG RETURNS AND WEALTH ACCOUNTING</w:t>
      </w:r>
    </w:p>
    <w:p>
      <w:pPr/>
      <w:r>
        <w:rPr>
          <w:b/>
          <w:color w:val="009084"/>
        </w:rPr>
        <w:t xml:space="preserve">Source essence:  </w:t>
      </w:r>
      <w:r>
        <w:t>Simple holding-period return uses beginning/end prices and distributions; log return is ln(1+R). The slide says simple returns suit NAV/asset weighting while log returns add through time for one positive-price wealth process. Distributions, interest, FX and corporate-action adjustments must be explicit.</w:t>
      </w:r>
    </w:p>
    <w:p>
      <w:pPr/>
      <w:r>
        <w:rPr>
          <w:b/>
          <w:color w:val="009084"/>
        </w:rPr>
        <w:t xml:space="preserve">Concept / explanation:  </w:t>
      </w:r>
      <w:r>
        <w:t>For a funded holding, dividends belong in economic total return. Cross-asset portfolio returns combine same-period simple returns with appropriately timed weights; summing asset log returns with fixed weights generally does not yield the portfolio log return.</w:t>
      </w:r>
    </w:p>
    <w:p>
      <w:pPr/>
      <w:r>
        <w:rPr>
          <w:b/>
          <w:color w:val="009084"/>
        </w:rPr>
        <w:t xml:space="preserve">QuantEdge application:  </w:t>
      </w:r>
      <w:r>
        <w:t>Use total-return adjusted data for funded ETFs after verifying vendor treatment. Calculate portfolio NAV and P&amp;L using simple returns, tracking distributions, FX translation and rebalancing; use log transformations for statistical modelling only when defined.</w:t>
      </w:r>
    </w:p>
    <w:p>
      <w:pPr/>
      <w:r>
        <w:rPr>
          <w:b/>
          <w:color w:val="009084"/>
        </w:rPr>
        <w:t xml:space="preserve">Critical caution:  </w:t>
      </w:r>
      <w:r>
        <w:t>Do not double-count dividends already included in adjusted prices. A futures quote may be nonpositive, so a naive log-price transform is not universally valid.</w:t>
      </w:r>
    </w:p>
    <w:p>
      <w:pPr>
        <w:pStyle w:val="Formula"/>
        <w:shd w:fill="EAF6F4"/>
      </w:pPr>
      <w:r>
        <w:t>FORMULA   R_t = (P_t − P_(t−1) + D_t) / P_(t−1);   r_t = ln(1 + R_t)</w:t>
      </w:r>
    </w:p>
    <w:p>
      <w:pPr>
        <w:pStyle w:val="Heading2"/>
      </w:pPr>
      <w:r>
        <w:t>B05-S85  |  Slide 85: Daily futures settlement and margin</w:t>
      </w:r>
    </w:p>
    <w:p>
      <w:pPr>
        <w:pStyle w:val="Eyebrow"/>
        <w:keepNext/>
      </w:pPr>
      <w:r>
        <w:t>TOPIC  VARIATION MARGIN IS CASH P&amp;L, NOT A PURCHASE PAYMENT</w:t>
      </w:r>
    </w:p>
    <w:p>
      <w:pPr/>
      <w:r>
        <w:rPr>
          <w:b/>
          <w:color w:val="009084"/>
        </w:rPr>
        <w:t xml:space="preserve">Source essence:  </w:t>
      </w:r>
      <w:r>
        <w:t>Signed contract position N and contract multiplier M determine daily variation settlement from the change in the quoted futures price. Initial/maintenance margin secures performance rather than purchasing the underlying.</w:t>
      </w:r>
    </w:p>
    <w:p>
      <w:pPr/>
      <w:r>
        <w:rPr>
          <w:b/>
          <w:color w:val="009084"/>
        </w:rPr>
        <w:t xml:space="preserve">Concept / explanation:  </w:t>
      </w:r>
      <w:r>
        <w:t>Daily cash moves depend on the number and direction of contracts. Depositing collateral changes the account’s funding balance without generating investment profit; a margin call can force an exit even if a long-horizon thesis remains plausible.</w:t>
      </w:r>
    </w:p>
    <w:p>
      <w:pPr/>
      <w:r>
        <w:rPr>
          <w:b/>
          <w:color w:val="009084"/>
        </w:rPr>
        <w:t xml:space="preserve">QuantEdge application:  </w:t>
      </w:r>
      <w:r>
        <w:t>Model each expiry with signed integer contracts, exchange multiplier and daily settlement. Maintain separate ledger columns for trading P&amp;L, collateral postings/withdrawals, cash yield, cash available and stressed liquidity.</w:t>
      </w:r>
    </w:p>
    <w:p>
      <w:pPr/>
      <w:r>
        <w:rPr>
          <w:b/>
          <w:color w:val="009084"/>
        </w:rPr>
        <w:t xml:space="preserve">Critical caution:  </w:t>
      </w:r>
      <w:r>
        <w:t>The deck’s margin examples are illustrative rather than current exchange/broker requirements. Live margin amounts and expiration rules require exchange/broker checks.</w:t>
      </w:r>
    </w:p>
    <w:p>
      <w:pPr>
        <w:pStyle w:val="Formula"/>
        <w:shd w:fill="EAF6F4"/>
      </w:pPr>
      <w:r>
        <w:t>FORMULA   VM_t = N × M × (F_t − F_(t−1))</w:t>
      </w:r>
    </w:p>
    <w:p>
      <w:pPr>
        <w:pStyle w:val="Heading2"/>
      </w:pPr>
      <w:r>
        <w:t>B05-S86  |  Slide 86: Cost of carry and commodity basis</w:t>
      </w:r>
    </w:p>
    <w:p>
      <w:pPr>
        <w:pStyle w:val="Eyebrow"/>
        <w:keepNext/>
      </w:pPr>
      <w:r>
        <w:t>TOPIC  WHY SPOT AND FUTURES QUOTES CAN DIFFER</w:t>
      </w:r>
    </w:p>
    <w:p>
      <w:pPr/>
      <w:r>
        <w:rPr>
          <w:b/>
          <w:color w:val="009084"/>
        </w:rPr>
        <w:t xml:space="preserve">Source essence:  </w:t>
      </w:r>
      <w:r>
        <w:t>Under a simplifying no-arbitrage cost-of-carry model, futures price reflects spot level, financing, storage and convenience yield. The curve also responds to maturity, inventory and delivery location.</w:t>
      </w:r>
    </w:p>
    <w:p>
      <w:pPr/>
      <w:r>
        <w:rPr>
          <w:b/>
          <w:color w:val="009084"/>
        </w:rPr>
        <w:t xml:space="preserve">Concept / explanation:  </w:t>
      </w:r>
      <w:r>
        <w:t>Financing and storage can push forward prices upward; convenience yield can offset them. A term-structure quote is not an unbiased prediction of future spot and does not itself establish a roll profit or loss.</w:t>
      </w:r>
    </w:p>
    <w:p>
      <w:pPr/>
      <w:r>
        <w:rPr>
          <w:b/>
          <w:color w:val="009084"/>
        </w:rPr>
        <w:t xml:space="preserve">QuantEdge application:  </w:t>
      </w:r>
      <w:r>
        <w:t>Before modelling commodity exposure, specify exact contract, delivery grade/location, maturity, roll rule and cash collateral. Analyze curve scenarios and realized contract-price movements rather than using raw spot returns for futures holdings.</w:t>
      </w:r>
    </w:p>
    <w:p>
      <w:pPr/>
      <w:r>
        <w:rPr>
          <w:b/>
          <w:color w:val="009084"/>
        </w:rPr>
        <w:t xml:space="preserve">Critical caution:  </w:t>
      </w:r>
      <w:r>
        <w:t>The formula is an approximation for suitable storable assets. It is not a universal pricing identity for nonstorable or highly constrained commodities; futures and forwards can differ.</w:t>
      </w:r>
    </w:p>
    <w:p>
      <w:pPr>
        <w:pStyle w:val="Formula"/>
        <w:shd w:fill="EAF6F4"/>
      </w:pPr>
      <w:r>
        <w:t>FORMULA   F(0,T) ≈ S_0 exp[(r + u − y)T]</w:t>
      </w:r>
    </w:p>
    <w:p>
      <w:pPr>
        <w:pStyle w:val="Heading2"/>
      </w:pPr>
      <w:r>
        <w:t>B05-S87  |  Slide 87: Bond interest-rate sensitivity</w:t>
      </w:r>
    </w:p>
    <w:p>
      <w:pPr>
        <w:pStyle w:val="Eyebrow"/>
        <w:keepNext/>
      </w:pPr>
      <w:r>
        <w:t>TOPIC  DURATION AND CONVEXITY TURN YIELD SHOCKS INTO PRICE RISK</w:t>
      </w:r>
    </w:p>
    <w:p>
      <w:pPr/>
      <w:r>
        <w:rPr>
          <w:b/>
          <w:color w:val="009084"/>
        </w:rPr>
        <w:t xml:space="preserve">Source essence:  </w:t>
      </w:r>
      <w:r>
        <w:t>Modified duration and convexity approximate the percentage bond-price response to a yield change; slide 87 reminds that +100 basis points is +0.01 in decimal yield. Credit-spread changes require separate risk treatment.</w:t>
      </w:r>
    </w:p>
    <w:p>
      <w:pPr/>
      <w:r>
        <w:rPr>
          <w:b/>
          <w:color w:val="009084"/>
        </w:rPr>
        <w:t xml:space="preserve">Concept / explanation:  </w:t>
      </w:r>
      <w:r>
        <w:t>For a typical positive-duration bond, rising yields reduce price. Duration gives a first-order approximation; convexity refines it for larger shocks, but neither alone captures credit-spread moves or all security features.</w:t>
      </w:r>
    </w:p>
    <w:p>
      <w:pPr/>
      <w:r>
        <w:rPr>
          <w:b/>
          <w:color w:val="009084"/>
        </w:rPr>
        <w:t xml:space="preserve">QuantEdge application:  </w:t>
      </w:r>
      <w:r>
        <w:t>For the bond allocation, show interest-rate shock losses, duration concentration and potential changes in credit spreads. Where instrument data permit, distinguish rate risk from total realized ETF price risk.</w:t>
      </w:r>
    </w:p>
    <w:p>
      <w:pPr/>
      <w:r>
        <w:rPr>
          <w:b/>
          <w:color w:val="009084"/>
        </w:rPr>
        <w:t xml:space="preserve">Critical caution:  </w:t>
      </w:r>
      <w:r>
        <w:t>Do not identify bond coupon yield with total return or present a duration approximation as exact P&amp;L for large/complex shocks.</w:t>
      </w:r>
    </w:p>
    <w:p>
      <w:pPr>
        <w:pStyle w:val="Formula"/>
        <w:shd w:fill="EAF6F4"/>
      </w:pPr>
      <w:r>
        <w:t>FORMULA   ΔP / P ≈ −D_mod × Δy + 0.5 × Convexity × (Δy)^2</w:t>
      </w:r>
    </w:p>
    <w:p>
      <w:pPr>
        <w:pStyle w:val="Heading2"/>
      </w:pPr>
      <w:r>
        <w:t>B05-S88  |  Slide 88: Mean–variance portfolio optimizer</w:t>
      </w:r>
    </w:p>
    <w:p>
      <w:pPr>
        <w:pStyle w:val="Eyebrow"/>
        <w:keepNext/>
      </w:pPr>
      <w:r>
        <w:t>TOPIC  RISK–RETURN OBJECTIVE SUBJECT TO INVESTABILITY</w:t>
      </w:r>
    </w:p>
    <w:p>
      <w:pPr/>
      <w:r>
        <w:rPr>
          <w:b/>
          <w:color w:val="009084"/>
        </w:rPr>
        <w:t xml:space="preserve">Source essence:  </w:t>
      </w:r>
      <w:r>
        <w:t>The displayed optimization minimizes a variance penalty minus expected portfolio return, with weights summing to one. The slide warns that inaccurate expected returns μ can create unstable extreme weights and calls for limits on turnover, futures notional, drawdown and cash reserve.</w:t>
      </w:r>
    </w:p>
    <w:p>
      <w:pPr/>
      <w:r>
        <w:rPr>
          <w:b/>
          <w:color w:val="009084"/>
        </w:rPr>
        <w:t xml:space="preserve">Concept / explanation:  </w:t>
      </w:r>
      <w:r>
        <w:t>Here λ controls the emphasis on portfolio variance relative to return. This is one possible optimizer objective: it is not the same as always maximizing Sharpe, and it is not automatically the most suitable solution for a low-risk client.</w:t>
      </w:r>
    </w:p>
    <w:p>
      <w:pPr/>
      <w:r>
        <w:rPr>
          <w:b/>
          <w:color w:val="009084"/>
        </w:rPr>
        <w:t xml:space="preserve">QuantEdge application:  </w:t>
      </w:r>
      <w:r>
        <w:t>Implement constrained minimum variance or return-targeted minimum variance as primary conservative-client candidates; optionally compare max-Sharpe and risk parity on identical data and constraints. Perform sensitivity analysis to estimated μ and Σ.</w:t>
      </w:r>
    </w:p>
    <w:p>
      <w:pPr/>
      <w:r>
        <w:rPr>
          <w:b/>
          <w:color w:val="009084"/>
        </w:rPr>
        <w:t xml:space="preserve">Critical caution:  </w:t>
      </w:r>
      <w:r>
        <w:t>Expected returns and covariances are estimated, not known. A mathematically optimal portfolio may be infeasible once no-short-selling, position caps, liquidity, fees, whole contracts and cash/margin needs are enforced.</w:t>
      </w:r>
    </w:p>
    <w:p>
      <w:pPr>
        <w:pStyle w:val="Formula"/>
        <w:shd w:fill="EAF6F4"/>
      </w:pPr>
      <w:r>
        <w:t>FORMULA   min_w [ (λ/2) wᵀΣw − wᵀμ ], subject to 1ᵀw = 1</w:t>
      </w:r>
    </w:p>
    <w:p>
      <w:pPr>
        <w:pStyle w:val="Heading2"/>
      </w:pPr>
      <w:r>
        <w:t>B05-S89  |  Slide 89: Marginal contribution to portfolio variance</w:t>
      </w:r>
    </w:p>
    <w:p>
      <w:pPr>
        <w:pStyle w:val="Eyebrow"/>
        <w:keepNext/>
      </w:pPr>
      <w:r>
        <w:t>TOPIC  WHO ACTUALLY CARRIES PORTFOLIO VOLATILITY RISK?</w:t>
      </w:r>
    </w:p>
    <w:p>
      <w:pPr/>
      <w:r>
        <w:rPr>
          <w:b/>
          <w:color w:val="009084"/>
        </w:rPr>
        <w:t xml:space="preserve">Source essence:  </w:t>
      </w:r>
      <w:r>
        <w:t>The slide gives portfolio volatility from the covariance matrix and each holding’s risk contribution. It notes that a small weight can contribute much risk if the asset is volatile or strongly correlated with other positions.</w:t>
      </w:r>
    </w:p>
    <w:p>
      <w:pPr/>
      <w:r>
        <w:rPr>
          <w:b/>
          <w:color w:val="009084"/>
        </w:rPr>
        <w:t xml:space="preserve">Concept / explanation:  </w:t>
      </w:r>
      <w:r>
        <w:t>Risk contribution scales each asset’s sensitivity to portfolio volatility by its weight. Under the usual differentiability assumptions, contributions across assets sum to total portfolio volatility; weight share and risk share differ.</w:t>
      </w:r>
    </w:p>
    <w:p>
      <w:pPr/>
      <w:r>
        <w:rPr>
          <w:b/>
          <w:color w:val="009084"/>
        </w:rPr>
        <w:t xml:space="preserve">QuantEdge application:  </w:t>
      </w:r>
      <w:r>
        <w:t>Report dollar weights, volatility contributions and percentage risk shares alongside one another. Investigate whether a seemingly small energy, equity or FX exposure dominates the conservative portfolio risk budget.</w:t>
      </w:r>
    </w:p>
    <w:p>
      <w:pPr/>
      <w:r>
        <w:rPr>
          <w:b/>
          <w:color w:val="009084"/>
        </w:rPr>
        <w:t xml:space="preserve">Critical caution:  </w:t>
      </w:r>
      <w:r>
        <w:t>The formula assumes a coherent covariance/return representation for positions. ES attribution needs tail scenarios or a suitable estimator; volatility contribution is not automatically ES contribution.</w:t>
      </w:r>
    </w:p>
    <w:p>
      <w:pPr>
        <w:pStyle w:val="Formula"/>
        <w:shd w:fill="EAF6F4"/>
      </w:pPr>
      <w:r>
        <w:t>FORMULA   σ_p = √(wᵀΣw);   RC_i = w_i (Σw)_i / σ_p</w:t>
      </w:r>
    </w:p>
    <w:p>
      <w:pPr>
        <w:pStyle w:val="Heading2"/>
      </w:pPr>
      <w:r>
        <w:t>B05-S90  |  Slide 90: Normal one-day VaR on portfolio returns</w:t>
      </w:r>
    </w:p>
    <w:p>
      <w:pPr>
        <w:pStyle w:val="Eyebrow"/>
        <w:keepNext/>
      </w:pPr>
      <w:r>
        <w:t>TOPIC  NORMAL-QUANTILE ESTIMATE OF LOSS THRESHOLD</w:t>
      </w:r>
    </w:p>
    <w:p>
      <w:pPr/>
      <w:r>
        <w:rPr>
          <w:b/>
          <w:color w:val="009084"/>
        </w:rPr>
        <w:t xml:space="preserve">Source essence:  </w:t>
      </w:r>
      <w:r>
        <w:t>For normal portfolio returns, the slide writes a currency VaR approximation using portfolio value V, expected return μ_r, return volatility σ_r and a normal quantile z_α. Its footer supplies the zero-mean 99% factor approximately 2.326.</w:t>
      </w:r>
    </w:p>
    <w:p>
      <w:pPr/>
      <w:r>
        <w:rPr>
          <w:b/>
          <w:color w:val="009084"/>
        </w:rPr>
        <w:t xml:space="preserve">Concept / explanation:  </w:t>
      </w:r>
      <w:r>
        <w:t>VaR describes a modeled loss threshold at the chosen confidence and horizon, not the worst loss possible. The mean and volatility used must be calculated for the same forecast period as the claimed VaR.</w:t>
      </w:r>
    </w:p>
    <w:p>
      <w:pPr/>
      <w:r>
        <w:rPr>
          <w:b/>
          <w:color w:val="009084"/>
        </w:rPr>
        <w:t xml:space="preserve">QuantEdge application:  </w:t>
      </w:r>
      <w:r>
        <w:t>Use this as a transparent baseline against historical and more tail-sensitive alternatives; report confidence, horizon, NAV, currency, mean/volatility estimation dates and exception backtests.</w:t>
      </w:r>
    </w:p>
    <w:p>
      <w:pPr/>
      <w:r>
        <w:rPr>
          <w:b/>
          <w:color w:val="009084"/>
        </w:rPr>
        <w:t xml:space="preserve">Critical caution:  </w:t>
      </w:r>
      <w:r>
        <w:t>Normal tails can underestimate extreme-event severity. Do not compare 1-day 99% VaR to a 10-day 95% ES without first reconciling the metrics and periods.</w:t>
      </w:r>
    </w:p>
    <w:p>
      <w:pPr>
        <w:pStyle w:val="Formula"/>
        <w:shd w:fill="EAF6F4"/>
      </w:pPr>
      <w:r>
        <w:t>FORMULA   VaR_α ≈ V × [−μ_r + z_α σ_r];   if μ_r ≈ 0, VaR_99% ≈ 2.326 σ_r V</w:t>
      </w:r>
    </w:p>
    <w:p>
      <w:pPr>
        <w:pStyle w:val="Heading2"/>
      </w:pPr>
      <w:r>
        <w:t>B05-S91  |  Slide 91: Expected Shortfall for continuous losses</w:t>
      </w:r>
    </w:p>
    <w:p>
      <w:pPr>
        <w:pStyle w:val="Eyebrow"/>
        <w:keepNext/>
      </w:pPr>
      <w:r>
        <w:t>TOPIC  AVERAGE SEVERITY OF WORST-TAIL OUTCOMES</w:t>
      </w:r>
    </w:p>
    <w:p>
      <w:pPr/>
      <w:r>
        <w:rPr>
          <w:b/>
          <w:color w:val="009084"/>
        </w:rPr>
        <w:t xml:space="preserve">Source essence:  </w:t>
      </w:r>
      <w:r>
        <w:t>The slide expresses ES as the average of VaR quantiles across the upper loss tail and defines positive L as loss. It highlights ES as a coherent tail-risk summary under standard definitions.</w:t>
      </w:r>
    </w:p>
    <w:p>
      <w:pPr/>
      <w:r>
        <w:rPr>
          <w:b/>
          <w:color w:val="009084"/>
        </w:rPr>
        <w:t xml:space="preserve">Concept / explanation:  </w:t>
      </w:r>
      <w:r>
        <w:t>At 99% confidence, ES summarizes losses in the worst 1% of modeled outcomes, beyond merely giving the 99th percentile threshold. A greater ES points to more severe losses in the model’s tail.</w:t>
      </w:r>
    </w:p>
    <w:p>
      <w:pPr/>
      <w:r>
        <w:rPr>
          <w:b/>
          <w:color w:val="009084"/>
        </w:rPr>
        <w:t xml:space="preserve">QuantEdge application:  </w:t>
      </w:r>
      <w:r>
        <w:t>Show ES as percentage of NAV and as USD, for each approved horizon and confidence level. Use ES limits as one potential risk gate, and validate the underlying return distribution and available tail observations.</w:t>
      </w:r>
    </w:p>
    <w:p>
      <w:pPr/>
      <w:r>
        <w:rPr>
          <w:b/>
          <w:color w:val="009084"/>
        </w:rPr>
        <w:t xml:space="preserve">Critical caution:  </w:t>
      </w:r>
      <w:r>
        <w:t>The continuous-loss quantile expression has assumptions; finite samples and estimated far tails can be unstable. Never label ES a guaranteed worst-case loss.</w:t>
      </w:r>
    </w:p>
    <w:p>
      <w:pPr>
        <w:pStyle w:val="Formula"/>
        <w:shd w:fill="EAF6F4"/>
      </w:pPr>
      <w:r>
        <w:t>FORMULA   ES_α(L) = [1 / (1 − α)] ∫_α^1 VaR_u(L) du</w:t>
      </w:r>
    </w:p>
    <w:p>
      <w:pPr>
        <w:pStyle w:val="Heading2"/>
      </w:pPr>
      <w:r>
        <w:t>B05-S92  |  Slide 92: EVT peaks-over-threshold model</w:t>
      </w:r>
    </w:p>
    <w:p>
      <w:pPr>
        <w:pStyle w:val="Eyebrow"/>
        <w:keepNext/>
      </w:pPr>
      <w:r>
        <w:t>TOPIC  GENERALIZED PARETO MODEL FOR EXTREME LOSS EXCEEDANCES</w:t>
      </w:r>
    </w:p>
    <w:p>
      <w:pPr/>
      <w:r>
        <w:rPr>
          <w:b/>
          <w:color w:val="009084"/>
        </w:rPr>
        <w:t xml:space="preserve">Source essence:  </w:t>
      </w:r>
      <w:r>
        <w:t>The appendix provides the generalized Pareto cumulative distribution for exceedances above a high loss threshold u. Presenter notes say y=L−u, scale β&gt;0 and 1+ξy/β&gt;0; the ξ→0 limit is exponential.</w:t>
      </w:r>
    </w:p>
    <w:p>
      <w:pPr/>
      <w:r>
        <w:rPr>
          <w:b/>
          <w:color w:val="009084"/>
        </w:rPr>
        <w:t xml:space="preserve">Concept / explanation:  </w:t>
      </w:r>
      <w:r>
        <w:t>Peaks-over-threshold analysis models how large severe losses become once they exceed a chosen threshold. Shape ξ governs the modeled tail: positive suggests heavy tail, negative gives finite upper endpoint, and zero is the exponential limit.</w:t>
      </w:r>
    </w:p>
    <w:p>
      <w:pPr/>
      <w:r>
        <w:rPr>
          <w:b/>
          <w:color w:val="009084"/>
        </w:rPr>
        <w:t xml:space="preserve">QuantEdge application:  </w:t>
      </w:r>
      <w:r>
        <w:t>Log exceedance counts, threshold selection diagnostics, fitted shape/scale, goodness-of-fit and uncertainty. Compare high-quantile results with baseline risk estimates, and stress-test estimates against alternative thresholds.</w:t>
      </w:r>
    </w:p>
    <w:p>
      <w:pPr/>
      <w:r>
        <w:rPr>
          <w:b/>
          <w:color w:val="009084"/>
        </w:rPr>
        <w:t xml:space="preserve">Critical caution:  </w:t>
      </w:r>
      <w:r>
        <w:t>Very high quantiles depend on sparse extreme observations. The lecture does not specify a single correct EVT threshold or guarantee an accuracy improvement.</w:t>
      </w:r>
    </w:p>
    <w:p>
      <w:pPr>
        <w:pStyle w:val="Formula"/>
        <w:shd w:fill="EAF6F4"/>
      </w:pPr>
      <w:r>
        <w:t>FORMULA   G_(ξ,β)(y) = 1 − (1 + ξy/β)^(−1/ξ),  y = L − u</w:t>
      </w:r>
    </w:p>
    <w:p>
      <w:pPr>
        <w:pStyle w:val="Heading2"/>
      </w:pPr>
      <w:r>
        <w:t>B05-S93  |  Slide 93: Joint loss dependence and copulas</w:t>
      </w:r>
    </w:p>
    <w:p>
      <w:pPr>
        <w:pStyle w:val="Eyebrow"/>
        <w:keepNext/>
      </w:pPr>
      <w:r>
        <w:t>TOPIC  DEPENDENCE IS DISTINCT FROM INDIVIDUAL ASSET DISTRIBUTIONS</w:t>
      </w:r>
    </w:p>
    <w:p>
      <w:pPr/>
      <w:r>
        <w:rPr>
          <w:b/>
          <w:color w:val="009084"/>
        </w:rPr>
        <w:t xml:space="preserve">Source essence:  </w:t>
      </w:r>
      <w:r>
        <w:t>The slide states that a copula links marginal distributions into a joint distribution. Tail dependence matters when assets can experience severe losses together; Gaussian copulas have zero asymptotic tail dependence when |ρ|&lt;1.</w:t>
      </w:r>
    </w:p>
    <w:p>
      <w:pPr/>
      <w:r>
        <w:rPr>
          <w:b/>
          <w:color w:val="009084"/>
        </w:rPr>
        <w:t xml:space="preserve">Concept / explanation:  </w:t>
      </w:r>
      <w:r>
        <w:t>Marginal models answer what each asset loses; the copula answers how those outcomes align. Two portfolios with similar ordinary correlations can have different joint-crash probabilities and ES.</w:t>
      </w:r>
    </w:p>
    <w:p>
      <w:pPr/>
      <w:r>
        <w:rPr>
          <w:b/>
          <w:color w:val="009084"/>
        </w:rPr>
        <w:t xml:space="preserve">QuantEdge application:  </w:t>
      </w:r>
      <w:r>
        <w:t>Compare dependence models with common marginal estimation and consistent scenarios. Use joint-tail stress outputs to assess whether diversification still works for the chosen portfolio and holding horizon.</w:t>
      </w:r>
    </w:p>
    <w:p>
      <w:pPr/>
      <w:r>
        <w:rPr>
          <w:b/>
          <w:color w:val="009084"/>
        </w:rPr>
        <w:t xml:space="preserve">Critical caution:  </w:t>
      </w:r>
      <w:r>
        <w:t>A fitted copula must be tested. Gaussian, Student-t and asymmetric choices can imply materially different tails, but a complex model is not inherently more reliable.</w:t>
      </w:r>
    </w:p>
    <w:p>
      <w:pPr>
        <w:pStyle w:val="Formula"/>
        <w:shd w:fill="EAF6F4"/>
      </w:pPr>
      <w:r>
        <w:t>FORMULA   F_(X,Y)(x,y) = C[F_X(x), F_Y(y)]</w:t>
      </w:r>
    </w:p>
    <w:p>
      <w:pPr>
        <w:pStyle w:val="Heading2"/>
      </w:pPr>
      <w:r>
        <w:t>B05-S94  |  Slide 94: Value-at-Risk exception testing</w:t>
      </w:r>
    </w:p>
    <w:p>
      <w:pPr>
        <w:pStyle w:val="Eyebrow"/>
        <w:keepNext/>
      </w:pPr>
      <w:r>
        <w:t>TOPIC  TEST REALIZED LOSSES AGAINST EARLIER RISK FORECASTS</w:t>
      </w:r>
    </w:p>
    <w:p>
      <w:pPr/>
      <w:r>
        <w:rPr>
          <w:b/>
          <w:color w:val="009084"/>
        </w:rPr>
        <w:t xml:space="preserve">Source essence:  </w:t>
      </w:r>
      <w:r>
        <w:t>An exception indicator is one when realized loss exceeds its forecast VaR. The slide describes Kupiec unconditional coverage versus separate independence checks; the notes insist on out-of-sample forecasts and no tuning on the held-out test set.</w:t>
      </w:r>
    </w:p>
    <w:p>
      <w:pPr/>
      <w:r>
        <w:rPr>
          <w:b/>
          <w:color w:val="009084"/>
        </w:rPr>
        <w:t xml:space="preserve">Concept / explanation:  </w:t>
      </w:r>
      <w:r>
        <w:t>A model may have roughly the right total number of breaches yet still be unsafe if breaches arrive in clusters. Both breach frequency and timing matter.</w:t>
      </w:r>
    </w:p>
    <w:p>
      <w:pPr/>
      <w:r>
        <w:rPr>
          <w:b/>
          <w:color w:val="009084"/>
        </w:rPr>
        <w:t xml:space="preserve">QuantEdge application:  </w:t>
      </w:r>
      <w:r>
        <w:t>Produce a dated out-of-sample table of VaR forecasts, realized portfolio losses and exceptions. Report the Kupiec test, independence/conditional coverage diagnostics and a visual breach timeline.</w:t>
      </w:r>
    </w:p>
    <w:p>
      <w:pPr/>
      <w:r>
        <w:rPr>
          <w:b/>
          <w:color w:val="009084"/>
        </w:rPr>
        <w:t xml:space="preserve">Critical caution:  </w:t>
      </w:r>
      <w:r>
        <w:t>Calibrate every test to the proper confidence and sample size. The lecture warns that regulatory traffic-light approaches are not generic to all confidence levels, metrics or datasets.</w:t>
      </w:r>
    </w:p>
    <w:p>
      <w:pPr>
        <w:pStyle w:val="Formula"/>
        <w:shd w:fill="EAF6F4"/>
      </w:pPr>
      <w:r>
        <w:t>FORMULA   I_t = 1[L_t &gt; VaR_(α,t)]</w:t>
      </w:r>
    </w:p>
    <w:p>
      <w:pPr>
        <w:pStyle w:val="Heading2"/>
      </w:pPr>
      <w:r>
        <w:t>B05-S95  |  Slide 95: Machine-learning signal economics</w:t>
      </w:r>
    </w:p>
    <w:p>
      <w:pPr>
        <w:pStyle w:val="Eyebrow"/>
        <w:keepNext/>
      </w:pPr>
      <w:r>
        <w:t>TOPIC  ECONOMIC PAYOFF RATHER THAN CLASSIFICATION ACCURACY ALONE</w:t>
      </w:r>
    </w:p>
    <w:p>
      <w:pPr/>
      <w:r>
        <w:rPr>
          <w:b/>
          <w:color w:val="009084"/>
        </w:rPr>
        <w:t xml:space="preserve">Source essence:  </w:t>
      </w:r>
      <w:r>
        <w:t>The slide defines expected net P&amp;L using predicted win probability, win size, loss size and all costs. Notes add probability calibration, payoff asymmetry, frequency, turnover, execution, position/risk limits, and purged/embargoed cross-validation for overlapping target windows.</w:t>
      </w:r>
    </w:p>
    <w:p>
      <w:pPr/>
      <w:r>
        <w:rPr>
          <w:b/>
          <w:color w:val="009084"/>
        </w:rPr>
        <w:t xml:space="preserve">Concept / explanation:  </w:t>
      </w:r>
      <w:r>
        <w:t>Even an apparently accurate model can lose money if losses are larger than gains or execution costs exceed gross edge. A forecast has value only if it improves a feasible decision.</w:t>
      </w:r>
    </w:p>
    <w:p>
      <w:pPr/>
      <w:r>
        <w:rPr>
          <w:b/>
          <w:color w:val="009084"/>
        </w:rPr>
        <w:t xml:space="preserve">QuantEdge application:  </w:t>
      </w:r>
      <w:r>
        <w:t>Compare ML forecasts to simple baselines, convert scores to rules only after cost assumptions and scenario risk are clear, then test chronologically out of sample. Include the possibility of no trade.</w:t>
      </w:r>
    </w:p>
    <w:p>
      <w:pPr/>
      <w:r>
        <w:rPr>
          <w:b/>
          <w:color w:val="009084"/>
        </w:rPr>
        <w:t xml:space="preserve">Critical caution:  </w:t>
      </w:r>
      <w:r>
        <w:t>Any hit-rate threshold is scenario-specific; do not transfer the slide 75 stylized break-even percentage to unequal payoff distributions or actual holdings.</w:t>
      </w:r>
    </w:p>
    <w:p>
      <w:pPr>
        <w:pStyle w:val="Formula"/>
        <w:shd w:fill="EAF6F4"/>
      </w:pPr>
      <w:r>
        <w:t>FORMULA   E[net P&amp;L] = p × gain − (1 − p) × loss − all costs</w:t>
      </w:r>
    </w:p>
    <w:p>
      <w:pPr>
        <w:pStyle w:val="Heading2"/>
      </w:pPr>
      <w:r>
        <w:t>B05-S96  |  Slide 96: Copula lower-tail dependence coefficient</w:t>
      </w:r>
    </w:p>
    <w:p>
      <w:pPr>
        <w:pStyle w:val="Eyebrow"/>
        <w:keepNext/>
      </w:pPr>
      <w:r>
        <w:t>TOPIC  LIMITING CONDITIONAL JOINT-CRASH ASSOCIATION</w:t>
      </w:r>
    </w:p>
    <w:p>
      <w:pPr/>
      <w:r>
        <w:rPr>
          <w:b/>
          <w:color w:val="009084"/>
        </w:rPr>
        <w:t xml:space="preserve">Source essence:  </w:t>
      </w:r>
      <w:r>
        <w:t>The coefficient is the limiting probability of one variable entering an extreme lower percentile conditional on another doing so. The notes stress it is not Pearson correlation and may differ substantially between Gaussian and Student-t copulas.</w:t>
      </w:r>
    </w:p>
    <w:p>
      <w:pPr/>
      <w:r>
        <w:rPr>
          <w:b/>
          <w:color w:val="009084"/>
        </w:rPr>
        <w:t xml:space="preserve">Concept / explanation:  </w:t>
      </w:r>
      <w:r>
        <w:t>Unlike the probability that two returns both fall below the 5th percentile, the tail-dependence coefficient concerns a conditional probability as the percentile approaches zero.</w:t>
      </w:r>
    </w:p>
    <w:p>
      <w:pPr/>
      <w:r>
        <w:rPr>
          <w:b/>
          <w:color w:val="009084"/>
        </w:rPr>
        <w:t xml:space="preserve">QuantEdge application:  </w:t>
      </w:r>
      <w:r>
        <w:t>If estimating co-crash risks, label output clearly as joint event probability, conditional tail probability or asymptotic λ_L. Report model fit, tail sample limits and horizon.</w:t>
      </w:r>
    </w:p>
    <w:p>
      <w:pPr/>
      <w:r>
        <w:rPr>
          <w:b/>
          <w:color w:val="009084"/>
        </w:rPr>
        <w:t xml:space="preserve">Critical caution:  </w:t>
      </w:r>
      <w:r>
        <w:t>Asymptotic λ_L cannot be estimated confidently from a few observations without substantial modeling assumptions. Do not substitute it for observed joint 5% frequency.</w:t>
      </w:r>
    </w:p>
    <w:p>
      <w:pPr>
        <w:pStyle w:val="Formula"/>
        <w:shd w:fill="EAF6F4"/>
      </w:pPr>
      <w:r>
        <w:t>FORMULA   λ_L = lim_(u→0+) P(U_2 ≤ u | U_1 ≤ u)</w:t>
      </w:r>
    </w:p>
    <w:p>
      <w:pPr>
        <w:pStyle w:val="Heading2"/>
      </w:pPr>
      <w:r>
        <w:t>B05-S97  |  Slide 97: Futures return on portfolio NAV</w:t>
      </w:r>
    </w:p>
    <w:p>
      <w:pPr>
        <w:pStyle w:val="Eyebrow"/>
        <w:keepNext/>
      </w:pPr>
      <w:r>
        <w:t>TOPIC  CONSISTENT FUTURES-OVERLAY RETURN CONTRIBUTION</w:t>
      </w:r>
    </w:p>
    <w:p>
      <w:pPr/>
      <w:r>
        <w:rPr>
          <w:b/>
          <w:color w:val="009084"/>
        </w:rPr>
        <w:t xml:space="preserve">Source essence:  </w:t>
      </w:r>
      <w:r>
        <w:t>The slide’s ratio uses signed contract counts, multipliers, price changes, cash/collateral interest, costs and beginning portfolio NAV. Presenter notes warn that dividing by the margin deposit produces a different leveraged return statistic.</w:t>
      </w:r>
    </w:p>
    <w:p>
      <w:pPr/>
      <w:r>
        <w:rPr>
          <w:b/>
          <w:color w:val="009084"/>
        </w:rPr>
        <w:t xml:space="preserve">Concept / explanation:  </w:t>
      </w:r>
      <w:r>
        <w:t>A futures overlay affects portfolio wealth through variation P&amp;L and cash flows; it is not a fully funded ETF share. The denominator must match the economic portfolio being judged.</w:t>
      </w:r>
    </w:p>
    <w:p>
      <w:pPr/>
      <w:r>
        <w:rPr>
          <w:b/>
          <w:color w:val="009084"/>
        </w:rPr>
        <w:t xml:space="preserve">QuantEdge application:  </w:t>
      </w:r>
      <w:r>
        <w:t>Calculate the futures overlay contribution to NAV from daily contract P&amp;L plus interest minus costs; add funded-asset P&amp;L for a total portfolio return. Preserve an auditable link to positions and margin.</w:t>
      </w:r>
    </w:p>
    <w:p>
      <w:pPr/>
      <w:r>
        <w:rPr>
          <w:b/>
          <w:color w:val="009084"/>
        </w:rPr>
        <w:t xml:space="preserve">Critical caution:  </w:t>
      </w:r>
      <w:r>
        <w:t>The displayed formula represents a simplified self-financing overlay, not every portfolio cash flow. Address external deposits, currency conversion, taxes, and rebalancing as needed; do not omit funded holdings in total-return reporting.</w:t>
      </w:r>
    </w:p>
    <w:p>
      <w:pPr>
        <w:pStyle w:val="Formula"/>
        <w:shd w:fill="EAF6F4"/>
      </w:pPr>
      <w:r>
        <w:t>FORMULA   R_(p,t) ≈ [Σ_i n_i M_i ΔF_(i,t) + interest_t − costs_t] / NAV_(t−1)</w:t>
      </w:r>
    </w:p>
    <w:p>
      <w:pPr>
        <w:pStyle w:val="Heading2"/>
      </w:pPr>
      <w:r>
        <w:t>B05-S98  |  Slide 98: Wavelet coherence: conceptual estimator</w:t>
      </w:r>
    </w:p>
    <w:p>
      <w:pPr>
        <w:pStyle w:val="Eyebrow"/>
        <w:keepNext/>
      </w:pPr>
      <w:r>
        <w:t>TOPIC  TIME–SCALE DEPENDENCE IS NOT CAUSAL PREDICTION</w:t>
      </w:r>
    </w:p>
    <w:p>
      <w:pPr/>
      <w:r>
        <w:rPr>
          <w:b/>
          <w:color w:val="009084"/>
        </w:rPr>
        <w:t xml:space="preserve">Source essence:  </w:t>
      </w:r>
      <w:r>
        <w:t>The slide defines coherence as smoothed cross-power divided by smoothed individual powers. Presenter notes describe S as smoothing and W_xy as the cross-wavelet transform; a value near one means strong local coherence, not causality.</w:t>
      </w:r>
    </w:p>
    <w:p>
      <w:pPr/>
      <w:r>
        <w:rPr>
          <w:b/>
          <w:color w:val="009084"/>
        </w:rPr>
        <w:t xml:space="preserve">Concept / explanation:  </w:t>
      </w:r>
      <w:r>
        <w:t>Wavelet coherence asks whether two series move together at particular calendar times and investment scales. It is distinct from single-series wavelet power or a conventional rolling correlation.</w:t>
      </w:r>
    </w:p>
    <w:p>
      <w:pPr/>
      <w:r>
        <w:rPr>
          <w:b/>
          <w:color w:val="009084"/>
        </w:rPr>
        <w:t xml:space="preserve">QuantEdge application:  </w:t>
      </w:r>
      <w:r>
        <w:t>If used as an extension, document wavelet family, scales/horizons, smoothing, statistical significance, cone of influence and whether the filter uses future observations. Frame outputs as exploratory dependency evidence unless genuinely predictive out-of-sample.</w:t>
      </w:r>
    </w:p>
    <w:p>
      <w:pPr/>
      <w:r>
        <w:rPr>
          <w:b/>
          <w:color w:val="009084"/>
        </w:rPr>
        <w:t xml:space="preserve">Critical caution:  </w:t>
      </w:r>
      <w:r>
        <w:t>Edge effects, phase interpretation, multiple testing and look-ahead leakage can mislead. This is optional research material in the lecture, not an established competition obligation.</w:t>
      </w:r>
    </w:p>
    <w:p>
      <w:pPr>
        <w:pStyle w:val="Formula"/>
        <w:shd w:fill="EAF6F4"/>
      </w:pPr>
      <w:r>
        <w:t>FORMULA   R²(s,t) = CrossPower(s,t) / [Power_x(s,t) × Power_y(s,t)]</w:t>
      </w:r>
    </w:p>
    <w:p>
      <w:pPr>
        <w:pStyle w:val="Heading2"/>
      </w:pPr>
      <w:r>
        <w:t>B05-S99  |  Slide 99: Selected research and practitioner sources</w:t>
      </w:r>
    </w:p>
    <w:p>
      <w:pPr>
        <w:pStyle w:val="Eyebrow"/>
        <w:keepNext/>
      </w:pPr>
      <w:r>
        <w:t>TOPIC  SOURCE HIERARCHY, VERIFICATION AND AUDIT TRAIL</w:t>
      </w:r>
    </w:p>
    <w:p>
      <w:pPr/>
      <w:r>
        <w:rPr>
          <w:b/>
          <w:color w:val="009084"/>
        </w:rPr>
        <w:t xml:space="preserve">Source essence:  </w:t>
      </w:r>
      <w:r>
        <w:t>The final slide names CFTC and CME educational materials, CFA Institute 2026 commodity/futures curriculum, foundational works by Markowitz, Engle, Bollerslev, Rockafellar &amp; Uryasev, McNeil/Frey/Embrechts, and Patton on copulas. It also lists an uploaded draft competition concept as a source for mandate, technical layers and a rubric.</w:t>
      </w:r>
    </w:p>
    <w:p>
      <w:pPr/>
      <w:r>
        <w:rPr>
          <w:b/>
          <w:color w:val="009084"/>
        </w:rPr>
        <w:t xml:space="preserve">Concept / explanation:  </w:t>
      </w:r>
      <w:r>
        <w:t>A teaching bibliography helps justify methods but does not establish current exchange contract specifications or competition eligibility. Primary organizer instructions have different authority from lectures, references and our own interpretations.</w:t>
      </w:r>
    </w:p>
    <w:p>
      <w:pPr/>
      <w:r>
        <w:rPr>
          <w:b/>
          <w:color w:val="009084"/>
        </w:rPr>
        <w:t xml:space="preserve">QuantEdge application:  </w:t>
      </w:r>
      <w:r>
        <w:t>Maintain a source register for official contest rules, approved instruments, active futures specifications, live margin/expiry terms, data licensing and academic methods. Link each application claim to an appropriate source.</w:t>
      </w:r>
    </w:p>
    <w:p>
      <w:pPr/>
      <w:r>
        <w:rPr>
          <w:b/>
          <w:color w:val="009084"/>
        </w:rPr>
        <w:t xml:space="preserve">Critical caution:  </w:t>
      </w:r>
      <w:r>
        <w:t>References are selected, not exhaustive or verified here. Speaker notes explicitly say example data are stylized and that rules/margins/contract details must be checked at the appropriate authority.</w:t>
      </w:r>
    </w:p>
    <w:p>
      <w:pPr>
        <w:pStyle w:val="Heading1"/>
      </w:pPr>
      <w:r>
        <w:t>Implementation map | from theory to evidence</w:t>
      </w:r>
    </w:p>
    <w:p>
      <w:pPr>
        <w:pStyle w:val="SmallNote"/>
      </w:pPr>
      <w:r>
        <w:t>The following are proposed engineering checkpoints, synthesized from slides 81–99. These are not independently verified official judging requirements.</w:t>
      </w:r>
    </w:p>
    <w:tbl>
      <w:tblPr>
        <w:tblStyle w:val="LightShading-Accent1"/>
        <w:tblW w:type="auto" w:w="0"/>
        <w:tblLayout w:type="fixed"/>
        <w:tblLook w:firstColumn="1" w:firstRow="1" w:lastColumn="0" w:lastRow="0" w:noHBand="0" w:noVBand="1" w:val="04A0"/>
      </w:tblPr>
      <w:tblGrid>
        <w:gridCol w:w="2412"/>
        <w:gridCol w:w="2412"/>
        <w:gridCol w:w="2412"/>
        <w:gridCol w:w="2412"/>
      </w:tblGrid>
      <w:tr>
        <w:trPr>
          <w:tblHeader w:val="true"/>
        </w:trPr>
        <w:tc>
          <w:tcPr>
            <w:tcW w:type="dxa" w:w="720"/>
          </w:tcPr>
          <w:p>
            <w:r>
              <w:t>ID</w:t>
            </w:r>
          </w:p>
        </w:tc>
        <w:tc>
          <w:tcPr>
            <w:tcW w:type="dxa" w:w="1656"/>
          </w:tcPr>
          <w:p>
            <w:r>
              <w:t>Component</w:t>
            </w:r>
          </w:p>
        </w:tc>
        <w:tc>
          <w:tcPr>
            <w:tcW w:type="dxa" w:w="5976"/>
          </w:tcPr>
          <w:p>
            <w:r>
              <w:t>Minimum acceptance criterion</w:t>
            </w:r>
          </w:p>
        </w:tc>
        <w:tc>
          <w:tcPr>
            <w:tcW w:type="dxa" w:w="1296"/>
          </w:tcPr>
          <w:p>
            <w:r>
              <w:t>Slides</w:t>
            </w:r>
          </w:p>
        </w:tc>
      </w:tr>
      <w:tr>
        <w:trPr>
          <w:cantSplit/>
        </w:trPr>
        <w:tc>
          <w:tcPr>
            <w:tcW w:type="dxa" w:w="720"/>
            <w:vAlign w:val="center"/>
          </w:tcPr>
          <w:p>
            <w:r>
              <w:t>P01</w:t>
            </w:r>
          </w:p>
        </w:tc>
        <w:tc>
          <w:tcPr>
            <w:tcW w:type="dxa" w:w="1656"/>
            <w:vAlign w:val="center"/>
          </w:tcPr>
          <w:p>
            <w:r>
              <w:t>Position truth</w:t>
            </w:r>
          </w:p>
        </w:tc>
        <w:tc>
          <w:tcPr>
            <w:tcW w:type="dxa" w:w="5976"/>
            <w:vAlign w:val="center"/>
          </w:tcPr>
          <w:p>
            <w:r>
              <w:t>Reconcile each cash-funded security and futures contract to a common NAV and dated position ledger.</w:t>
            </w:r>
          </w:p>
        </w:tc>
        <w:tc>
          <w:tcPr>
            <w:tcW w:type="dxa" w:w="1296"/>
            <w:vAlign w:val="center"/>
          </w:tcPr>
          <w:p>
            <w:r>
              <w:t>S81, S84–85, S97</w:t>
            </w:r>
          </w:p>
        </w:tc>
      </w:tr>
      <w:tr>
        <w:trPr>
          <w:cantSplit/>
        </w:trPr>
        <w:tc>
          <w:tcPr>
            <w:tcW w:type="dxa" w:w="720"/>
            <w:vAlign w:val="center"/>
          </w:tcPr>
          <w:p>
            <w:r>
              <w:t>P02</w:t>
            </w:r>
          </w:p>
        </w:tc>
        <w:tc>
          <w:tcPr>
            <w:tcW w:type="dxa" w:w="1656"/>
            <w:vAlign w:val="center"/>
          </w:tcPr>
          <w:p>
            <w:r>
              <w:t>Conservative optimization</w:t>
            </w:r>
          </w:p>
        </w:tc>
        <w:tc>
          <w:tcPr>
            <w:tcW w:type="dxa" w:w="5976"/>
            <w:vAlign w:val="center"/>
          </w:tcPr>
          <w:p>
            <w:r>
              <w:t>Propose a risk budget, liquidity/cash reserve, position limits and minimum acceptable return; compare constrained optimization objectives.</w:t>
            </w:r>
          </w:p>
        </w:tc>
        <w:tc>
          <w:tcPr>
            <w:tcW w:type="dxa" w:w="1296"/>
            <w:vAlign w:val="center"/>
          </w:tcPr>
          <w:p>
            <w:r>
              <w:t>S87–89</w:t>
            </w:r>
          </w:p>
        </w:tc>
      </w:tr>
      <w:tr>
        <w:trPr>
          <w:cantSplit/>
        </w:trPr>
        <w:tc>
          <w:tcPr>
            <w:tcW w:type="dxa" w:w="720"/>
            <w:vAlign w:val="center"/>
          </w:tcPr>
          <w:p>
            <w:r>
              <w:t>P03</w:t>
            </w:r>
          </w:p>
        </w:tc>
        <w:tc>
          <w:tcPr>
            <w:tcW w:type="dxa" w:w="1656"/>
            <w:vAlign w:val="center"/>
          </w:tcPr>
          <w:p>
            <w:r>
              <w:t>Downside engine</w:t>
            </w:r>
          </w:p>
        </w:tc>
        <w:tc>
          <w:tcPr>
            <w:tcW w:type="dxa" w:w="5976"/>
            <w:vAlign w:val="center"/>
          </w:tcPr>
          <w:p>
            <w:r>
              <w:t>Present matched VaR and ES and confidence/horizon/units; use EVT/copulas as tested sensitivity layers, not unconditional truth.</w:t>
            </w:r>
          </w:p>
        </w:tc>
        <w:tc>
          <w:tcPr>
            <w:tcW w:type="dxa" w:w="1296"/>
            <w:vAlign w:val="center"/>
          </w:tcPr>
          <w:p>
            <w:r>
              <w:t>S90–93, S96</w:t>
            </w:r>
          </w:p>
        </w:tc>
      </w:tr>
      <w:tr>
        <w:trPr>
          <w:cantSplit/>
        </w:trPr>
        <w:tc>
          <w:tcPr>
            <w:tcW w:type="dxa" w:w="720"/>
            <w:vAlign w:val="center"/>
          </w:tcPr>
          <w:p>
            <w:r>
              <w:t>P04</w:t>
            </w:r>
          </w:p>
        </w:tc>
        <w:tc>
          <w:tcPr>
            <w:tcW w:type="dxa" w:w="1656"/>
            <w:vAlign w:val="center"/>
          </w:tcPr>
          <w:p>
            <w:r>
              <w:t>Model validation</w:t>
            </w:r>
          </w:p>
        </w:tc>
        <w:tc>
          <w:tcPr>
            <w:tcW w:type="dxa" w:w="5976"/>
            <w:vAlign w:val="center"/>
          </w:tcPr>
          <w:p>
            <w:r>
              <w:t>Use strictly ex-ante, out-of-sample forecasts; test exception frequency and clustering and retain a locked test period.</w:t>
            </w:r>
          </w:p>
        </w:tc>
        <w:tc>
          <w:tcPr>
            <w:tcW w:type="dxa" w:w="1296"/>
            <w:vAlign w:val="center"/>
          </w:tcPr>
          <w:p>
            <w:r>
              <w:t>S94–95</w:t>
            </w:r>
          </w:p>
        </w:tc>
      </w:tr>
      <w:tr>
        <w:trPr>
          <w:cantSplit/>
        </w:trPr>
        <w:tc>
          <w:tcPr>
            <w:tcW w:type="dxa" w:w="720"/>
            <w:vAlign w:val="center"/>
          </w:tcPr>
          <w:p>
            <w:r>
              <w:t>P05</w:t>
            </w:r>
          </w:p>
        </w:tc>
        <w:tc>
          <w:tcPr>
            <w:tcW w:type="dxa" w:w="1656"/>
            <w:vAlign w:val="center"/>
          </w:tcPr>
          <w:p>
            <w:r>
              <w:t>Investment committee output</w:t>
            </w:r>
          </w:p>
        </w:tc>
        <w:tc>
          <w:tcPr>
            <w:tcW w:type="dxa" w:w="5976"/>
            <w:vAlign w:val="center"/>
          </w:tcPr>
          <w:p>
            <w:r>
              <w:t>Show portfolio allocation, expected performance after costs, risk in dollars, stress liquidity, rationale, limits and weaknesses.</w:t>
            </w:r>
          </w:p>
        </w:tc>
        <w:tc>
          <w:tcPr>
            <w:tcW w:type="dxa" w:w="1296"/>
            <w:vAlign w:val="center"/>
          </w:tcPr>
          <w:p>
            <w:r>
              <w:t>S81–82</w:t>
            </w:r>
          </w:p>
        </w:tc>
      </w:tr>
      <w:tr>
        <w:trPr>
          <w:cantSplit/>
        </w:trPr>
        <w:tc>
          <w:tcPr>
            <w:tcW w:type="dxa" w:w="720"/>
            <w:vAlign w:val="center"/>
          </w:tcPr>
          <w:p>
            <w:r>
              <w:t>P06</w:t>
            </w:r>
          </w:p>
        </w:tc>
        <w:tc>
          <w:tcPr>
            <w:tcW w:type="dxa" w:w="1656"/>
            <w:vAlign w:val="center"/>
          </w:tcPr>
          <w:p>
            <w:r>
              <w:t>Research governance</w:t>
            </w:r>
          </w:p>
        </w:tc>
        <w:tc>
          <w:tcPr>
            <w:tcW w:type="dxa" w:w="5976"/>
            <w:vAlign w:val="center"/>
          </w:tcPr>
          <w:p>
            <w:r>
              <w:t>Track source authority, exact method assumptions, live contract spec checks and model limitations.</w:t>
            </w:r>
          </w:p>
        </w:tc>
        <w:tc>
          <w:tcPr>
            <w:tcW w:type="dxa" w:w="1296"/>
            <w:vAlign w:val="center"/>
          </w:tcPr>
          <w:p>
            <w:r>
              <w:t>S83, S99</w:t>
            </w:r>
          </w:p>
        </w:tc>
      </w:tr>
    </w:tbl>
    <w:p>
      <w:pPr>
        <w:pStyle w:val="Heading1"/>
      </w:pPr>
      <w:r>
        <w:t>Formula register | all 15 mathematical slides</w:t>
      </w:r>
    </w:p>
    <w:p>
      <w:r>
        <w:rPr>
          <w:b/>
          <w:color w:val="009084"/>
        </w:rPr>
        <w:t xml:space="preserve">S84  </w:t>
      </w:r>
      <w:r>
        <w:rPr>
          <w:rFonts w:ascii="Cambria Math" w:hAnsi="Cambria Math"/>
          <w:sz w:val="18"/>
        </w:rPr>
        <w:t>R_t = (P_t − P_(t−1) + D_t) / P_(t−1);   r_t = ln(1 + R_t)</w:t>
      </w:r>
    </w:p>
    <w:p>
      <w:r>
        <w:rPr>
          <w:b/>
          <w:color w:val="009084"/>
        </w:rPr>
        <w:t xml:space="preserve">S85  </w:t>
      </w:r>
      <w:r>
        <w:rPr>
          <w:rFonts w:ascii="Cambria Math" w:hAnsi="Cambria Math"/>
          <w:sz w:val="18"/>
        </w:rPr>
        <w:t>VM_t = N × M × (F_t − F_(t−1))</w:t>
      </w:r>
    </w:p>
    <w:p>
      <w:r>
        <w:rPr>
          <w:b/>
          <w:color w:val="009084"/>
        </w:rPr>
        <w:t xml:space="preserve">S86  </w:t>
      </w:r>
      <w:r>
        <w:rPr>
          <w:rFonts w:ascii="Cambria Math" w:hAnsi="Cambria Math"/>
          <w:sz w:val="18"/>
        </w:rPr>
        <w:t>F(0,T) ≈ S_0 exp[(r + u − y)T]</w:t>
      </w:r>
    </w:p>
    <w:p>
      <w:r>
        <w:rPr>
          <w:b/>
          <w:color w:val="009084"/>
        </w:rPr>
        <w:t xml:space="preserve">S87  </w:t>
      </w:r>
      <w:r>
        <w:rPr>
          <w:rFonts w:ascii="Cambria Math" w:hAnsi="Cambria Math"/>
          <w:sz w:val="18"/>
        </w:rPr>
        <w:t>ΔP / P ≈ −D_mod × Δy + 0.5 × Convexity × (Δy)^2</w:t>
      </w:r>
    </w:p>
    <w:p>
      <w:r>
        <w:rPr>
          <w:b/>
          <w:color w:val="009084"/>
        </w:rPr>
        <w:t xml:space="preserve">S88  </w:t>
      </w:r>
      <w:r>
        <w:rPr>
          <w:rFonts w:ascii="Cambria Math" w:hAnsi="Cambria Math"/>
          <w:sz w:val="18"/>
        </w:rPr>
        <w:t>min_w [ (λ/2) wᵀΣw − wᵀμ ], subject to 1ᵀw = 1</w:t>
      </w:r>
    </w:p>
    <w:p>
      <w:r>
        <w:rPr>
          <w:b/>
          <w:color w:val="009084"/>
        </w:rPr>
        <w:t xml:space="preserve">S89  </w:t>
      </w:r>
      <w:r>
        <w:rPr>
          <w:rFonts w:ascii="Cambria Math" w:hAnsi="Cambria Math"/>
          <w:sz w:val="18"/>
        </w:rPr>
        <w:t>σ_p = √(wᵀΣw);   RC_i = w_i (Σw)_i / σ_p</w:t>
      </w:r>
    </w:p>
    <w:p>
      <w:r>
        <w:rPr>
          <w:b/>
          <w:color w:val="009084"/>
        </w:rPr>
        <w:t xml:space="preserve">S90  </w:t>
      </w:r>
      <w:r>
        <w:rPr>
          <w:rFonts w:ascii="Cambria Math" w:hAnsi="Cambria Math"/>
          <w:sz w:val="18"/>
        </w:rPr>
        <w:t>VaR_α ≈ V × [−μ_r + z_α σ_r];   if μ_r ≈ 0, VaR_99% ≈ 2.326 σ_r V</w:t>
      </w:r>
    </w:p>
    <w:p>
      <w:r>
        <w:rPr>
          <w:b/>
          <w:color w:val="009084"/>
        </w:rPr>
        <w:t xml:space="preserve">S91  </w:t>
      </w:r>
      <w:r>
        <w:rPr>
          <w:rFonts w:ascii="Cambria Math" w:hAnsi="Cambria Math"/>
          <w:sz w:val="18"/>
        </w:rPr>
        <w:t>ES_α(L) = [1 / (1 − α)] ∫_α^1 VaR_u(L) du</w:t>
      </w:r>
    </w:p>
    <w:p>
      <w:r>
        <w:rPr>
          <w:b/>
          <w:color w:val="009084"/>
        </w:rPr>
        <w:t xml:space="preserve">S92  </w:t>
      </w:r>
      <w:r>
        <w:rPr>
          <w:rFonts w:ascii="Cambria Math" w:hAnsi="Cambria Math"/>
          <w:sz w:val="18"/>
        </w:rPr>
        <w:t>G_(ξ,β)(y) = 1 − (1 + ξy/β)^(−1/ξ),  y = L − u</w:t>
      </w:r>
    </w:p>
    <w:p>
      <w:r>
        <w:rPr>
          <w:b/>
          <w:color w:val="009084"/>
        </w:rPr>
        <w:t xml:space="preserve">S93  </w:t>
      </w:r>
      <w:r>
        <w:rPr>
          <w:rFonts w:ascii="Cambria Math" w:hAnsi="Cambria Math"/>
          <w:sz w:val="18"/>
        </w:rPr>
        <w:t>F_(X,Y)(x,y) = C[F_X(x), F_Y(y)]</w:t>
      </w:r>
    </w:p>
    <w:p>
      <w:r>
        <w:rPr>
          <w:b/>
          <w:color w:val="009084"/>
        </w:rPr>
        <w:t xml:space="preserve">S94  </w:t>
      </w:r>
      <w:r>
        <w:rPr>
          <w:rFonts w:ascii="Cambria Math" w:hAnsi="Cambria Math"/>
          <w:sz w:val="18"/>
        </w:rPr>
        <w:t>I_t = 1[L_t &gt; VaR_(α,t)]</w:t>
      </w:r>
    </w:p>
    <w:p>
      <w:r>
        <w:rPr>
          <w:b/>
          <w:color w:val="009084"/>
        </w:rPr>
        <w:t xml:space="preserve">S95  </w:t>
      </w:r>
      <w:r>
        <w:rPr>
          <w:rFonts w:ascii="Cambria Math" w:hAnsi="Cambria Math"/>
          <w:sz w:val="18"/>
        </w:rPr>
        <w:t>E[net P&amp;L] = p × gain − (1 − p) × loss − all costs</w:t>
      </w:r>
    </w:p>
    <w:p>
      <w:r>
        <w:rPr>
          <w:b/>
          <w:color w:val="009084"/>
        </w:rPr>
        <w:t xml:space="preserve">S96  </w:t>
      </w:r>
      <w:r>
        <w:rPr>
          <w:rFonts w:ascii="Cambria Math" w:hAnsi="Cambria Math"/>
          <w:sz w:val="18"/>
        </w:rPr>
        <w:t>λ_L = lim_(u→0+) P(U_2 ≤ u | U_1 ≤ u)</w:t>
      </w:r>
    </w:p>
    <w:p>
      <w:r>
        <w:rPr>
          <w:b/>
          <w:color w:val="009084"/>
        </w:rPr>
        <w:t xml:space="preserve">S97  </w:t>
      </w:r>
      <w:r>
        <w:rPr>
          <w:rFonts w:ascii="Cambria Math" w:hAnsi="Cambria Math"/>
          <w:sz w:val="18"/>
        </w:rPr>
        <w:t>R_(p,t) ≈ [Σ_i n_i M_i ΔF_(i,t) + interest_t − costs_t] / NAV_(t−1)</w:t>
      </w:r>
    </w:p>
    <w:p>
      <w:r>
        <w:rPr>
          <w:b/>
          <w:color w:val="009084"/>
        </w:rPr>
        <w:t xml:space="preserve">S98  </w:t>
      </w:r>
      <w:r>
        <w:rPr>
          <w:rFonts w:ascii="Cambria Math" w:hAnsi="Cambria Math"/>
          <w:sz w:val="18"/>
        </w:rPr>
        <w:t>R²(s,t) = CrossPower(s,t) / [Power_x(s,t) × Power_y(s,t)]</w:t>
      </w:r>
    </w:p>
    <w:p>
      <w:pPr>
        <w:pStyle w:val="Heading1"/>
      </w:pPr>
      <w:r>
        <w:t>High-impact distinctions</w:t>
      </w:r>
    </w:p>
    <w:p>
      <w:pPr>
        <w:pStyle w:val="ListBullet"/>
      </w:pPr>
      <w:r>
        <w:t>Slide 88 presents a risk-aversion mean–variance optimizer, NOT a universal instruction to maximize Sharpe; the conservative client’s constraints choose the appropriate objective.</w:t>
      </w:r>
    </w:p>
    <w:p>
      <w:pPr>
        <w:pStyle w:val="ListBullet"/>
      </w:pPr>
      <w:r>
        <w:t>Margin deposits, futures notional, trade P&amp;L and total portfolio NAV are different quantities. The slide 97 equation is an overlay return contribution; funded-asset P&amp;L still matters.</w:t>
      </w:r>
    </w:p>
    <w:p>
      <w:pPr>
        <w:pStyle w:val="ListBullet"/>
      </w:pPr>
      <w:r>
        <w:t>Normal VaR gives a modeled threshold; ES a tail mean; EVT models exceedances; copulas model joint distributions; wavelet coherence describes time–scale association.</w:t>
      </w:r>
    </w:p>
    <w:p>
      <w:pPr>
        <w:pStyle w:val="ListBullet"/>
      </w:pPr>
      <w:r>
        <w:t>A probability of both assets experiencing 5th-percentile losses is NOT automatically λ_L, which is an asymptotic conditional probability.</w:t>
      </w:r>
    </w:p>
    <w:p>
      <w:pPr>
        <w:pStyle w:val="ListBullet"/>
      </w:pPr>
      <w:r>
        <w:t>A statistically successful forecasting model can still be economically poor after transaction costs, liquidity effects, and stress-driven deleveraging.</w:t>
      </w:r>
    </w:p>
    <w:p>
      <w:pPr>
        <w:pStyle w:val="ListBullet"/>
      </w:pPr>
      <w:r>
        <w:t>Lecturer-referenced draft competition details and example market terms should not be treated as independently verified requirements.</w:t>
      </w:r>
    </w:p>
    <w:p>
      <w:pPr>
        <w:pStyle w:val="Heading1"/>
      </w:pPr>
      <w:r>
        <w:t>End-of-masterclass synthesis</w:t>
      </w:r>
    </w:p>
    <w:p>
      <w:pPr/>
      <w:r>
        <w:rPr>
          <w:b/>
          <w:color w:val="009084"/>
        </w:rPr>
        <w:t xml:space="preserve">Integrated decision chain.  </w:t>
      </w:r>
      <w:r>
        <w:t>Identify tradable instruments → establish cash flows and total-return accounting → estimate and constrain portfolio exposures → quantify typical and extreme downside → validate all forecasts out of sample → communicate a suitable, implementable decision.</w:t>
      </w:r>
    </w:p>
    <w:p>
      <w:pPr/>
      <w:r>
        <w:rPr>
          <w:b/>
          <w:color w:val="009084"/>
        </w:rPr>
        <w:t xml:space="preserve">Our conservative mandate.  </w:t>
      </w:r>
      <w:r>
        <w:t>For a three-year, USD 10m institutional mandate mentioned in the lecture, preserve capital and sufficient liquidity first, then target a defensible return level after inflation, fees and taxes. This is a project framing derived from the teaching material, not a guaranteed return or a confirmed final policy.</w:t>
      </w:r>
    </w:p>
    <w:p>
      <w:pPr/>
      <w:r>
        <w:rPr>
          <w:b/>
          <w:color w:val="009084"/>
        </w:rPr>
        <w:t xml:space="preserve">Next use.  </w:t>
      </w:r>
      <w:r>
        <w:t>Refer to Batches 01–05 by stable slide IDs. Cross-check every externally consequential assumption against the organizer-issued competition brief, current instrument specifications and explicitly documented model validation.</w:t>
      </w:r>
    </w:p>
    <w:sectPr w:rsidR="00FC693F" w:rsidRPr="0006063C" w:rsidSect="00034616">
      <w:headerReference w:type="default" r:id="rId9"/>
      <w:footerReference w:type="default" r:id="rId10"/>
      <w:pgSz w:w="11909" w:h="16834"/>
      <w:pgMar w:top="1037" w:right="1109" w:bottom="1037" w:left="1152"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673"/>
        <w:sz w:val="15"/>
      </w:rPr>
      <w:t xml:space="preserve">EDGEFORGE 2026  •  BATCH 05 / SLIDES 81–99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pPr>
    <w:r>
      <w:t>QUANTEDGE 1.0  /  COMPETITION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127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12737"/>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12737"/>
      <w:sz w:val="21"/>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1273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27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before="0" w:after="60"/>
    </w:pPr>
    <w:rPr>
      <w:rFonts w:ascii="Aptos" w:hAnsi="Aptos"/>
      <w:b/>
      <w:color w:val="009084"/>
      <w:sz w:val="16"/>
    </w:rPr>
  </w:style>
  <w:style w:type="paragraph" w:customStyle="1" w:styleId="SmallNote">
    <w:name w:val="Small Note"/>
    <w:pPr>
      <w:spacing w:after="100"/>
    </w:pPr>
    <w:rPr>
      <w:rFonts w:ascii="Aptos" w:hAnsi="Aptos"/>
      <w:color w:val="526673"/>
      <w:sz w:val="16"/>
    </w:rPr>
  </w:style>
  <w:style w:type="paragraph" w:customStyle="1" w:styleId="Formula">
    <w:name w:val="Formula"/>
    <w:pPr>
      <w:spacing w:before="80" w:after="140"/>
      <w:ind w:left="259"/>
    </w:pPr>
    <w:rPr>
      <w:rFonts w:ascii="Cambria Math" w:hAnsi="Cambria Math"/>
      <w:color w:val="1127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