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142B42"/>
          <w:sz w:val="44"/>
        </w:rPr>
        <w:t>Masterclass Key Findings</w:t>
      </w:r>
    </w:p>
    <w:p>
      <w:pPr>
        <w:spacing w:after="180"/>
      </w:pPr>
      <w:r>
        <w:rPr>
          <w:color w:val="5B6974"/>
          <w:sz w:val="20"/>
        </w:rPr>
        <w:t>A numbered, quick-reference summary of the full 99-slide presentation</w:t>
      </w:r>
    </w:p>
    <w:p>
      <w:pPr>
        <w:spacing w:after="160"/>
      </w:pPr>
      <w:r>
        <w:rPr>
          <w:b/>
          <w:color w:val="1B607C"/>
          <w:sz w:val="17"/>
        </w:rPr>
        <w:t>88 findings  •  7 themes  •  Source: EDGEFORGE 2026 masterclass, including presenter notes</w:t>
      </w:r>
    </w:p>
    <w:p>
      <w:pPr>
        <w:spacing w:after="160"/>
      </w:pPr>
      <w:r>
        <w:rPr>
          <w:b/>
          <w:color w:val="142B42"/>
          <w:sz w:val="16"/>
        </w:rPr>
        <w:t xml:space="preserve">Source status  </w:t>
      </w:r>
      <w:r>
        <w:rPr>
          <w:color w:val="5B6974"/>
          <w:sz w:val="16"/>
        </w:rPr>
        <w:t>This is a faithful condensed learning reference, not an official competition ruleset. Draft/illustrative details are identified below; verify current organizer and exchange requirements independently.</w:t>
      </w:r>
    </w:p>
    <w:p>
      <w:pPr>
        <w:pStyle w:val="KeySection"/>
      </w:pPr>
      <w:r>
        <w:t>01  Competition mandate &amp; investment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95"/>
        <w:gridCol w:w="6221"/>
      </w:tblGrid>
      <w:tr>
        <w:trPr>
          <w:tblHeader/>
        </w:trPr>
        <w:tc>
          <w:tcPr>
            <w:tcW w:type="dxa" w:w="69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#</w:t>
            </w:r>
          </w:p>
        </w:tc>
        <w:tc>
          <w:tcPr>
            <w:tcW w:type="dxa" w:w="2995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KEY FINDING</w:t>
            </w:r>
          </w:p>
        </w:tc>
        <w:tc>
          <w:tcPr>
            <w:tcW w:type="dxa" w:w="622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SHORT DESCRIPTION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Markets → models → decisions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Quantitative research must begin with what is traded and finish with a defensible investment action.  </w:t>
            </w:r>
            <w:r>
              <w:rPr>
                <w:color w:val="5B6974"/>
                <w:sz w:val="15"/>
              </w:rPr>
              <w:t>[Slides 1–3, 82]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Conservative investor mandate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draft brief describes a USD 10 million institutional client with a three-year horizon and a capital-preservation focus.  </w:t>
            </w:r>
            <w:r>
              <w:rPr>
                <w:color w:val="5B6974"/>
                <w:sz w:val="15"/>
              </w:rPr>
              <w:t>[Slides 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Indicative investable universe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draft discusses equity, bonds and commodities, with currency or local exposure optional; the final approved menu needs confirmation.  </w:t>
            </w:r>
            <w:r>
              <w:rPr>
                <w:color w:val="5B6974"/>
                <w:sz w:val="15"/>
              </w:rPr>
              <w:t>[Slides 4, 42]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Integrated competition task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Select a portfolio, estimate downside and extreme risks, validate models, run stress scenarios and recommend an investment decision.  </w:t>
            </w:r>
            <w:r>
              <w:rPr>
                <w:color w:val="5B6974"/>
                <w:sz w:val="15"/>
              </w:rPr>
              <w:t>[Slides 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Proposed deliverables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draft identifies reproducible Python, a Streamlit research app and an investment committee memo; other draft outputs need verification.  </w:t>
            </w:r>
            <w:r>
              <w:rPr>
                <w:color w:val="5B6974"/>
                <w:sz w:val="15"/>
              </w:rPr>
              <w:t>[Slides 4, 81]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Five investor questions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For every position ask: what is traded, when cash moves, where P&amp;L arises, how bad losses can be and whether the trade is suitable.  </w:t>
            </w:r>
            <w:r>
              <w:rPr>
                <w:color w:val="5B6974"/>
                <w:sz w:val="15"/>
              </w:rPr>
              <w:t>[Slides 5]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Implementation over mathematical elegance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strong forecast or efficient portfolio can fail because of execution costs, liquidity needs, margin calls or unsuitable risk exposure.  </w:t>
            </w:r>
            <w:r>
              <w:rPr>
                <w:color w:val="5B6974"/>
                <w:sz w:val="15"/>
              </w:rPr>
              <w:t>[Slides 3, 9]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Action-oriented model outputs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Translate every result into a decision such as buy, sell, hedge, size, rebalance, reduce exposure or reject.  </w:t>
            </w:r>
            <w:r>
              <w:rPr>
                <w:color w:val="5B6974"/>
                <w:sz w:val="15"/>
              </w:rPr>
              <w:t>[Slides 3, 54–58]</w:t>
            </w:r>
          </w:p>
        </w:tc>
      </w:tr>
    </w:tbl>
    <w:p>
      <w:pPr>
        <w:pStyle w:val="KeySection"/>
      </w:pPr>
      <w:r>
        <w:t>02  Markets, instruments &amp; valid return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95"/>
        <w:gridCol w:w="6221"/>
      </w:tblGrid>
      <w:tr>
        <w:trPr>
          <w:tblHeader/>
        </w:trPr>
        <w:tc>
          <w:tcPr>
            <w:tcW w:type="dxa" w:w="69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#</w:t>
            </w:r>
          </w:p>
        </w:tc>
        <w:tc>
          <w:tcPr>
            <w:tcW w:type="dxa" w:w="2995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KEY FINDING</w:t>
            </w:r>
          </w:p>
        </w:tc>
        <w:tc>
          <w:tcPr>
            <w:tcW w:type="dxa" w:w="622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SHORT DESCRIPTION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09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Different markets, different claims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Equities represent ownership, bonds contractual payments, FX currency values, and derivatives contingent or contractual exposures.  </w:t>
            </w:r>
            <w:r>
              <w:rPr>
                <w:color w:val="5B6974"/>
                <w:sz w:val="15"/>
              </w:rPr>
              <w:t>[Slides 7]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Spot versus derivative ownership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Cash investments generally require asset funding; derivatives create exposure with different funding, settlement and risk paths.  </w:t>
            </w:r>
            <w:r>
              <w:rPr>
                <w:color w:val="5B6974"/>
                <w:sz w:val="15"/>
              </w:rPr>
              <w:t>[Slides 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Trade-to-settlement process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Quotes and orders lead to execution, clearing and settlement; bid–ask spreads, depth and market impact change realized outcomes.  </w:t>
            </w:r>
            <w:r>
              <w:rPr>
                <w:color w:val="5B6974"/>
                <w:sz w:val="15"/>
              </w:rPr>
              <w:t>[Slides 9]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Market participants have different motives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Hedgers reduce existing exposure, speculators accept price risk, arbitrageurs seek inconsistencies and institutions allocate risk.  </w:t>
            </w:r>
            <w:r>
              <w:rPr>
                <w:color w:val="5B6974"/>
                <w:sz w:val="15"/>
              </w:rPr>
              <w:t>[Slides 10]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Hedging is exposure-dependent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An airline may take long energy futures to protect against rising fuel prices, even if that futures position later loses.  </w:t>
            </w:r>
            <w:r>
              <w:rPr>
                <w:color w:val="5B6974"/>
                <w:sz w:val="15"/>
              </w:rPr>
              <w:t>[Slides 11, 38]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Returns must match the instrument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ETF, bond, FX, futures and options P&amp;L each require different combinations of prices, distributions, multipliers or collateral.  </w:t>
            </w:r>
            <w:r>
              <w:rPr>
                <w:color w:val="5B6974"/>
                <w:sz w:val="15"/>
              </w:rPr>
              <w:t>[Slides 13]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Equity and ETF total returns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Use returns that account correctly for dividends, splits and corporate actions; avoid double-counting distributions in adjusted series.  </w:t>
            </w:r>
            <w:r>
              <w:rPr>
                <w:color w:val="5B6974"/>
                <w:sz w:val="15"/>
              </w:rPr>
              <w:t>[Slides 13, 15, 84]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Bond yield is not total return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Bond prices change with interest rates and credit risk, so a bond sold before maturity can lose money.  </w:t>
            </w:r>
            <w:r>
              <w:rPr>
                <w:color w:val="5B6974"/>
                <w:sz w:val="15"/>
              </w:rPr>
              <w:t>[Slides 7, 13, 17]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Simple returns reflect wealth change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Simple total returns can be combined using same-period portfolio weights and directly support NAV and cash P&amp;L accounting.  </w:t>
            </w:r>
            <w:r>
              <w:rPr>
                <w:color w:val="5B6974"/>
                <w:sz w:val="15"/>
              </w:rPr>
              <w:t>[Slides 14–16, 84]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Log returns add through time, not assets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Log returns sum over consecutive periods for a single positive-price process, but weighted asset log returns do not equal portfolio log return.  </w:t>
            </w:r>
            <w:r>
              <w:rPr>
                <w:color w:val="5B6974"/>
                <w:sz w:val="15"/>
              </w:rPr>
              <w:t>[Slides 14–16]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19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Base-currency and cash-flow consistency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Include distributions, interest and FX translation so reported investor returns reflect the currency and cash flows actually experienced.  </w:t>
            </w:r>
            <w:r>
              <w:rPr>
                <w:color w:val="5B6974"/>
                <w:sz w:val="15"/>
              </w:rPr>
              <w:t>[Slides 13, 84]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Duration and convexity for bond shocks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Duration estimates rate sensitivity; convexity refines larger yield moves, while credit-spread changes remain a separate risk.  </w:t>
            </w:r>
            <w:r>
              <w:rPr>
                <w:color w:val="5B6974"/>
                <w:sz w:val="15"/>
              </w:rPr>
              <w:t>[Slides 17, 87]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Use investable commodity data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Physical spot quotes include delivery and storage economics; ETF investors need ETF returns and futures traders need tradeable contracts.  </w:t>
            </w:r>
            <w:r>
              <w:rPr>
                <w:color w:val="5B6974"/>
                <w:sz w:val="15"/>
              </w:rPr>
              <w:t>[Slides 18, 42]</w:t>
            </w:r>
          </w:p>
        </w:tc>
      </w:tr>
    </w:tbl>
    <w:p>
      <w:pPr>
        <w:pStyle w:val="KeySection"/>
      </w:pPr>
      <w:r>
        <w:t>03  Futures mechanics, derivatives &amp; hedging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95"/>
        <w:gridCol w:w="6221"/>
      </w:tblGrid>
      <w:tr>
        <w:trPr>
          <w:tblHeader/>
        </w:trPr>
        <w:tc>
          <w:tcPr>
            <w:tcW w:type="dxa" w:w="69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#</w:t>
            </w:r>
          </w:p>
        </w:tc>
        <w:tc>
          <w:tcPr>
            <w:tcW w:type="dxa" w:w="2995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KEY FINDING</w:t>
            </w:r>
          </w:p>
        </w:tc>
        <w:tc>
          <w:tcPr>
            <w:tcW w:type="dxa" w:w="622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SHORT DESCRIPTION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Term structure is a snapshot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futures curve compares delivery maturities priced today; it is not the historical price path of a single contract.  </w:t>
            </w:r>
            <w:r>
              <w:rPr>
                <w:color w:val="5B6974"/>
                <w:sz w:val="15"/>
              </w:rPr>
              <w:t>[Slides 19, 21]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Contango and backwardation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An upward-sloping curve is contango; a downward-sloping curve is backwardation, without guaranteeing later spot-price movements.  </w:t>
            </w:r>
            <w:r>
              <w:rPr>
                <w:color w:val="5B6974"/>
                <w:sz w:val="15"/>
              </w:rPr>
              <w:t>[Slides 19]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Rolling does not create instant spread loss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Selling a near future at 82 and buying a longer one at 84 does not itself realize a 2-unit loss.  </w:t>
            </w:r>
            <w:r>
              <w:rPr>
                <w:color w:val="5B6974"/>
                <w:sz w:val="15"/>
              </w:rPr>
              <w:t>[Slides 20, 22]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Price convergence still affects returns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Futures returns arise from price changes during holding, curve shifts, basis convergence, collateral yield and trading costs.  </w:t>
            </w:r>
            <w:r>
              <w:rPr>
                <w:color w:val="5B6974"/>
                <w:sz w:val="15"/>
              </w:rPr>
              <w:t>[Slides 20–22]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Document actual futures backtests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Use specific contract months, holding/roll dates, multipliers, collateral and costs—not a random spot series or naive percentage changes in back-adjusted levels.  </w:t>
            </w:r>
            <w:r>
              <w:rPr>
                <w:color w:val="5B6974"/>
                <w:sz w:val="15"/>
              </w:rPr>
              <w:t>[Slides 23]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Four derivative families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Forwards are negotiated agreements, futures standardized margin-settled contracts, options nonlinear rights, and swaps exchanges of cash-flow streams.  </w:t>
            </w:r>
            <w:r>
              <w:rPr>
                <w:color w:val="5B6974"/>
                <w:sz w:val="15"/>
              </w:rPr>
              <w:t>[Slides 25]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Contract specification before trading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Check underlying, size, quotation, expiry, settlement method, tick value, margin and delivery or roll requirements.  </w:t>
            </w:r>
            <w:r>
              <w:rPr>
                <w:color w:val="5B6974"/>
                <w:sz w:val="15"/>
              </w:rPr>
              <w:t>[Slides 26, 37]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29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Signed futures P&amp;L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For a simple held position, P&amp;L equals signed contract count × contract multiplier × futures price change.  </w:t>
            </w:r>
            <w:r>
              <w:rPr>
                <w:color w:val="5B6974"/>
                <w:sz w:val="15"/>
              </w:rPr>
              <w:t>[Slides 27–28]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Initial margin is collateral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futures margin deposit is a performance bond, not the purchase price or the maximum loss the trade can produce.  </w:t>
            </w:r>
            <w:r>
              <w:rPr>
                <w:color w:val="5B6974"/>
                <w:sz w:val="15"/>
              </w:rPr>
              <w:t>[Slides 27–29, 85]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Daily variation margin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Futures gains and losses are credited or debited through daily settlement, potentially creating urgent cash-flow requirements.  </w:t>
            </w:r>
            <w:r>
              <w:rPr>
                <w:color w:val="5B6974"/>
                <w:sz w:val="15"/>
              </w:rPr>
              <w:t>[Slides 28–31, 85]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Margin top-up is not trading profit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In the lecture ledger, a USD 2,500 new deposit restores collateral but does not undo the USD 2,500 trading loss.  </w:t>
            </w:r>
            <w:r>
              <w:rPr>
                <w:color w:val="5B6974"/>
                <w:sz w:val="15"/>
              </w:rPr>
              <w:t>[Slides 30–32]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Funding stress can force liquidation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Maintenance-margin breaches may require rapid deposits or position closure, even when the long-run investment idea remains plausible.  </w:t>
            </w:r>
            <w:r>
              <w:rPr>
                <w:color w:val="5B6974"/>
                <w:sz w:val="15"/>
              </w:rPr>
              <w:t>[Slides 29–31]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Futures performance belongs to NAV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Assess the overlay using portfolio NAV and signed notional; return on posted margin alone is a different leveraged statistic.  </w:t>
            </w:r>
            <w:r>
              <w:rPr>
                <w:color w:val="5B6974"/>
                <w:sz w:val="15"/>
              </w:rPr>
              <w:t>[Slides 32, 48, 97]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Short selling has distinct mechanics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Short stock involves borrowing and borrow costs; short futures generally require collateral and are closed by buying the same contract.  </w:t>
            </w:r>
            <w:r>
              <w:rPr>
                <w:color w:val="5B6974"/>
                <w:sz w:val="15"/>
              </w:rPr>
              <w:t>[Slides 33]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Offset versus roll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Trade the opposite side of the same expiry to close; trade a different expiry as part of a separate roll or spread.  </w:t>
            </w:r>
            <w:r>
              <w:rPr>
                <w:color w:val="5B6974"/>
                <w:sz w:val="15"/>
              </w:rPr>
              <w:t>[Slides 35, 43]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Options have premium-based convexity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Long calls or puts give conditional rights; buyers generally limit loss to premium, unlike potentially larger futures losses.  </w:t>
            </w:r>
            <w:r>
              <w:rPr>
                <w:color w:val="5B6974"/>
                <w:sz w:val="15"/>
              </w:rPr>
              <w:t>[Slides 36]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Judge hedges together with exposure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derivative hedge may lose while the physical position gains; evaluate their combined result and residual basis risk.  </w:t>
            </w:r>
            <w:r>
              <w:rPr>
                <w:color w:val="5B6974"/>
                <w:sz w:val="15"/>
              </w:rPr>
              <w:t>[Slides 34, 38]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39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FX and rate hedging applications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Importers can buy USD forward, exporters can sell USD forward, and pay-fixed swaps can reduce floating-rate debt exposure.  </w:t>
            </w:r>
            <w:r>
              <w:rPr>
                <w:color w:val="5B6974"/>
                <w:sz w:val="15"/>
              </w:rPr>
              <w:t>[Slides 39–40, 44]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Commodity cost of carry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Under simplifying assumptions, financing, storage and convenience yield influence the futures-versus-spot relationship.  </w:t>
            </w:r>
            <w:r>
              <w:rPr>
                <w:color w:val="5B6974"/>
                <w:sz w:val="15"/>
              </w:rPr>
              <w:t>[Slides 41, 86]</w:t>
            </w:r>
          </w:p>
        </w:tc>
      </w:tr>
    </w:tbl>
    <w:p>
      <w:pPr>
        <w:pStyle w:val="KeySection"/>
      </w:pPr>
      <w:r>
        <w:t>04  Portfolio construction &amp; institutional 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95"/>
        <w:gridCol w:w="6221"/>
      </w:tblGrid>
      <w:tr>
        <w:trPr>
          <w:tblHeader/>
        </w:trPr>
        <w:tc>
          <w:tcPr>
            <w:tcW w:type="dxa" w:w="69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#</w:t>
            </w:r>
          </w:p>
        </w:tc>
        <w:tc>
          <w:tcPr>
            <w:tcW w:type="dxa" w:w="2995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KEY FINDING</w:t>
            </w:r>
          </w:p>
        </w:tc>
        <w:tc>
          <w:tcPr>
            <w:tcW w:type="dxa" w:w="622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SHORT DESCRIPTION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Funded portfolio plus overlays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teaching example separates a fully funded USD 10m portfolio from extra futures notional and the cash needed for margin.  </w:t>
            </w:r>
            <w:r>
              <w:rPr>
                <w:color w:val="5B6974"/>
                <w:sz w:val="15"/>
              </w:rPr>
              <w:t>[Slides 46]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Notional is not cash spent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USD 1m futures exposure does not mean USD 1m paid upfront; margin, notional and economic risk must be reported separately.  </w:t>
            </w:r>
            <w:r>
              <w:rPr>
                <w:color w:val="5B6974"/>
                <w:sz w:val="15"/>
              </w:rPr>
              <w:t>[Slides 47, 52]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Portfolio-level P&amp;L accounting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Combine security-unit price changes, futures contract P&amp;L, cash yield and costs, then divide by beginning NAV for simple return.  </w:t>
            </w:r>
            <w:r>
              <w:rPr>
                <w:color w:val="5B6974"/>
                <w:sz w:val="15"/>
              </w:rPr>
              <w:t>[Slides 48, 97]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Gross exposure can exceed NAV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Derivative overlays can increase the portfolio’s economic exposure beyond funded asset value without increasing its starting NAV.  </w:t>
            </w:r>
            <w:r>
              <w:rPr>
                <w:color w:val="5B6974"/>
                <w:sz w:val="15"/>
              </w:rPr>
              <w:t>[Slides 46–47]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Maintain a liquidity buffer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Cash reserves support collateral, funding costs and stressed margin calls, protecting a conservative portfolio from forced sales.  </w:t>
            </w:r>
            <w:r>
              <w:rPr>
                <w:color w:val="5B6974"/>
                <w:sz w:val="15"/>
              </w:rPr>
              <w:t>[Slides 46, 51]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Efficient frontier shows risk–return choices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Each efficient portfolio offers the highest expected return for its modelled risk level; the client mandate determines the suitable point.  </w:t>
            </w:r>
            <w:r>
              <w:rPr>
                <w:color w:val="5B6974"/>
                <w:sz w:val="15"/>
              </w:rPr>
              <w:t>[Slides 49]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Optimizer objective is a choice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Mean–variance optimization balances expected return and variance; it does not automatically mean maximum Sharpe or minimum risk.  </w:t>
            </w:r>
            <w:r>
              <w:rPr>
                <w:color w:val="5B6974"/>
                <w:sz w:val="15"/>
              </w:rPr>
              <w:t>[Slides 49, 88]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Estimated returns can destabilize weights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Small errors in estimated expected returns can produce extreme allocations; the notes recommend shrinkage, regularization or robust constraints.  </w:t>
            </w:r>
            <w:r>
              <w:rPr>
                <w:color w:val="5B6974"/>
                <w:sz w:val="15"/>
              </w:rPr>
              <w:t>[Slides 49, 88]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49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Real-world constraints change the answer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Limit concentrations, borrowing, turnover, futures notional and cash use while accounting for costs, liquidity and executable contract sizes.  </w:t>
            </w:r>
            <w:r>
              <w:rPr>
                <w:color w:val="5B6974"/>
                <w:sz w:val="15"/>
              </w:rPr>
              <w:t>[Slides 51, 88]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Risk contribution differs from weight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An asset with a small allocation can dominate volatility if highly variable or strongly correlated with other holdings.  </w:t>
            </w:r>
            <w:r>
              <w:rPr>
                <w:color w:val="5B6974"/>
                <w:sz w:val="15"/>
              </w:rPr>
              <w:t>[Slides 89]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Diversification can fail in crashes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Low average correlation may coexist with simultaneous extreme losses as market regimes and joint tail behaviour change.  </w:t>
            </w:r>
            <w:r>
              <w:rPr>
                <w:color w:val="5B6974"/>
                <w:sz w:val="15"/>
              </w:rPr>
              <w:t>[Slides 50, 64–66]</w:t>
            </w:r>
          </w:p>
        </w:tc>
      </w:tr>
    </w:tbl>
    <w:p>
      <w:pPr>
        <w:pStyle w:val="KeySection"/>
      </w:pPr>
      <w:r>
        <w:t>05  Downside, extreme &amp; dependence risk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95"/>
        <w:gridCol w:w="6221"/>
      </w:tblGrid>
      <w:tr>
        <w:trPr>
          <w:tblHeader/>
        </w:trPr>
        <w:tc>
          <w:tcPr>
            <w:tcW w:type="dxa" w:w="69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#</w:t>
            </w:r>
          </w:p>
        </w:tc>
        <w:tc>
          <w:tcPr>
            <w:tcW w:type="dxa" w:w="2995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KEY FINDING</w:t>
            </w:r>
          </w:p>
        </w:tc>
        <w:tc>
          <w:tcPr>
            <w:tcW w:type="dxa" w:w="622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SHORT DESCRIPTION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Risk tools answer different questions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Volatility, VaR, ES, EVT, copulas and wavelets measure different aspects of risk rather than interchangeable versions of one number.  </w:t>
            </w:r>
            <w:r>
              <w:rPr>
                <w:color w:val="5B6974"/>
                <w:sz w:val="15"/>
              </w:rPr>
              <w:t>[Slides 60]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Volatility measures dispersion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Standard deviation describes return variability, but does not by itself show worst-case downside severity or joint crash risk.  </w:t>
            </w:r>
            <w:r>
              <w:rPr>
                <w:color w:val="5B6974"/>
                <w:sz w:val="15"/>
              </w:rPr>
              <w:t>[Slides 54, 60]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GARCH forecasts conditional volatility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Clustering models estimate changing near-term return scale, not whether the next price change will be positive or negative.  </w:t>
            </w:r>
            <w:r>
              <w:rPr>
                <w:color w:val="5B6974"/>
                <w:sz w:val="15"/>
              </w:rPr>
              <w:t>[Slides 55, 58]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VaR is a loss threshold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99% one-day VaR is a modelled threshold exceeded in approximately the worst 1% of days, not an absolute loss ceiling.  </w:t>
            </w:r>
            <w:r>
              <w:rPr>
                <w:color w:val="5B6974"/>
                <w:sz w:val="15"/>
              </w:rPr>
              <w:t>[Slides 61, 90]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ES measures tail severity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Expected Shortfall summarizes the average loss in the worst 1% at 99% confidence and complements VaR’s threshold view.  </w:t>
            </w:r>
            <w:r>
              <w:rPr>
                <w:color w:val="5B6974"/>
                <w:sz w:val="15"/>
              </w:rPr>
              <w:t>[Slides 61, 91]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Translate risk into dollars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hypothetical 2.4% one-day VaR on USD 10m equals USD 240,000; committee decisions require currency, horizon and confidence level.  </w:t>
            </w:r>
            <w:r>
              <w:rPr>
                <w:color w:val="5B6974"/>
                <w:sz w:val="15"/>
              </w:rPr>
              <w:t>[Slides 62]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Normal VaR rests on assumptions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familiar normal-quantile calculation depends on a correctly specified return model, matching units and calibrated risk horizon.  </w:t>
            </w:r>
            <w:r>
              <w:rPr>
                <w:color w:val="5B6974"/>
                <w:sz w:val="15"/>
              </w:rPr>
              <w:t>[Slides 90]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59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EVT focuses on rare exceedances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Peaks-over-threshold fits a generalized Pareto model to losses beyond a high threshold to study extreme-tail behaviour.  </w:t>
            </w:r>
            <w:r>
              <w:rPr>
                <w:color w:val="5B6974"/>
                <w:sz w:val="15"/>
              </w:rPr>
              <w:t>[Slides 63, 92]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EVT estimates can be fragile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Threshold selection, tail-shape estimates and sparse observations create substantial uncertainty for very extreme quantiles.  </w:t>
            </w:r>
            <w:r>
              <w:rPr>
                <w:color w:val="5B6974"/>
                <w:sz w:val="15"/>
              </w:rPr>
              <w:t>[Slides 63, 92]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Correlation is not tail dependence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Pearson correlation measures average linear co-movement and may miss how likely assets are to crash together.  </w:t>
            </w:r>
            <w:r>
              <w:rPr>
                <w:color w:val="5B6974"/>
                <w:sz w:val="15"/>
              </w:rPr>
              <w:t>[Slides 64–66]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Copulas model joint outcomes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Copulas combine marginal distributions with a dependence structure so joint crash probabilities can differ despite similar average correlation.  </w:t>
            </w:r>
            <w:r>
              <w:rPr>
                <w:color w:val="5B6974"/>
                <w:sz w:val="15"/>
              </w:rPr>
              <w:t>[Slides 64, 66, 93]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Student-t versus Gaussian tails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Gaussian copulas generally have zero asymptotic tail dependence away from perfect correlation; Student-t copulas permit symmetric joint extremes.  </w:t>
            </w:r>
            <w:r>
              <w:rPr>
                <w:color w:val="5B6974"/>
                <w:sz w:val="15"/>
              </w:rPr>
              <w:t>[Slides 64–66, 93]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Lower-tail dependence is conditional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coefficient describes the limiting chance that one asset is extremely low given another is extremely low; it is not Pearson correlation.  </w:t>
            </w:r>
            <w:r>
              <w:rPr>
                <w:color w:val="5B6974"/>
                <w:sz w:val="15"/>
              </w:rPr>
              <w:t>[Slides 96]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Asymmetry requires model choice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Student-t copulas have symmetric tail dependence, so asymmetric lower- and upper-tail behaviour may call for other tested families.  </w:t>
            </w:r>
            <w:r>
              <w:rPr>
                <w:color w:val="5B6974"/>
                <w:sz w:val="15"/>
              </w:rPr>
              <w:t>[Slides 64, 66]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Wavelets reveal time and scale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Wavelet methods study how return fluctuations or asset co-movement vary across calendar time and investment horizon.  </w:t>
            </w:r>
            <w:r>
              <w:rPr>
                <w:color w:val="5B6974"/>
                <w:sz w:val="15"/>
              </w:rPr>
              <w:t>[Slides 67–69, 98]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Wavelet coherence is not causality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Strong local coherence is not a prediction; assess boundary effects, wavelet choice, statistical significance and look-ahead leakage.  </w:t>
            </w:r>
            <w:r>
              <w:rPr>
                <w:color w:val="5B6974"/>
                <w:sz w:val="15"/>
              </w:rPr>
              <w:t>[Slides 68–69, 98]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Compare models on equal terms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Before resolving disagreements, align loss definition, confidence level, horizon, units and data, and investigate model uncertainty rather than averaging blindly.  </w:t>
            </w:r>
            <w:r>
              <w:rPr>
                <w:color w:val="5B6974"/>
                <w:sz w:val="15"/>
              </w:rPr>
              <w:t>[Slides 70]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69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Stress tests complement distribution models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Historical or hypothetical shocks reveal concentration and liquidity losses that may breach constraints even when normal daily VaR does not.  </w:t>
            </w:r>
            <w:r>
              <w:rPr>
                <w:color w:val="5B6974"/>
                <w:sz w:val="15"/>
              </w:rPr>
              <w:t>[Slides 71]</w:t>
            </w:r>
          </w:p>
        </w:tc>
      </w:tr>
    </w:tbl>
    <w:p>
      <w:pPr>
        <w:pStyle w:val="KeySection"/>
      </w:pPr>
      <w:r>
        <w:t>06  Machine learning, validation &amp; trading economics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95"/>
        <w:gridCol w:w="6221"/>
      </w:tblGrid>
      <w:tr>
        <w:trPr>
          <w:tblHeader/>
        </w:trPr>
        <w:tc>
          <w:tcPr>
            <w:tcW w:type="dxa" w:w="69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#</w:t>
            </w:r>
          </w:p>
        </w:tc>
        <w:tc>
          <w:tcPr>
            <w:tcW w:type="dxa" w:w="2995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KEY FINDING</w:t>
            </w:r>
          </w:p>
        </w:tc>
        <w:tc>
          <w:tcPr>
            <w:tcW w:type="dxa" w:w="622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SHORT DESCRIPTION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ML has several legitimate roles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Models may forecast returns, market direction, regimes, volatility or portfolio actions; algorithm novelty alone is not economic value.  </w:t>
            </w:r>
            <w:r>
              <w:rPr>
                <w:color w:val="5B6974"/>
                <w:sz w:val="15"/>
              </w:rPr>
              <w:t>[Slides 73]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From prediction to executable trade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Use pre-trade features, a simple baseline, explicit position rules and backtests incorporating fees, rolls, collateral and actual execution.  </w:t>
            </w:r>
            <w:r>
              <w:rPr>
                <w:color w:val="5B6974"/>
                <w:sz w:val="15"/>
              </w:rPr>
              <w:t>[Slides 74]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Accuracy does not equal profitability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Hit rate or AUC alone ignores payoff size, asymmetric losses, spreads, slippage, financing and market impact.  </w:t>
            </w:r>
            <w:r>
              <w:rPr>
                <w:color w:val="5B6974"/>
                <w:sz w:val="15"/>
              </w:rPr>
              <w:t>[Slides 3, 75–76]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Break-even probability includes costs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In one illustrative equal-payoff example with 0.2% costs, the needed winning probability is about 58.33%.  </w:t>
            </w:r>
            <w:r>
              <w:rPr>
                <w:color w:val="5B6974"/>
                <w:sz w:val="15"/>
              </w:rPr>
              <w:t>[Slides 75]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Evaluate full strategy metrics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Assess net strategy P&amp;L, Sharpe/Sortino, turnover, drawdown, ES and liquidity alongside forecast accuracy or RMSE.  </w:t>
            </w:r>
            <w:r>
              <w:rPr>
                <w:color w:val="5B6974"/>
                <w:sz w:val="15"/>
              </w:rPr>
              <w:t>[Slides 76]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Control data leakage and selection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Do not use future information in features/scaling or repeatedly tune rules on the held-out test period.  </w:t>
            </w:r>
            <w:r>
              <w:rPr>
                <w:color w:val="5B6974"/>
                <w:sz w:val="15"/>
              </w:rPr>
              <w:t>[Slides 78]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Validate chronologically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Apply walk-forward or strictly out-of-sample time splits; overlapping labels may need purging and embargo to prevent contamination.  </w:t>
            </w:r>
            <w:r>
              <w:rPr>
                <w:color w:val="5B6974"/>
                <w:sz w:val="15"/>
              </w:rPr>
              <w:t>[Slides 74, 76–78]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Kupiec tests breach frequency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VaR unconditional-coverage tests check whether the observed exception proportion matches the stated tail probability.  </w:t>
            </w:r>
            <w:r>
              <w:rPr>
                <w:color w:val="5B6974"/>
                <w:sz w:val="15"/>
              </w:rPr>
              <w:t>[Slides 77, 94]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Christoffersen tests clustering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Independence tests check whether VaR exceptions cluster over time, highlighting risk regimes that frequency alone may miss.  </w:t>
            </w:r>
            <w:r>
              <w:rPr>
                <w:color w:val="5B6974"/>
                <w:sz w:val="15"/>
              </w:rPr>
              <w:t>[Slides 77, 94]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79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Use matched backtesting conventions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Risk-model tests need forecasts made from prior information and the correct confidence level, observation count and measurement horizon.  </w:t>
            </w:r>
            <w:r>
              <w:rPr>
                <w:color w:val="5B6974"/>
                <w:sz w:val="15"/>
              </w:rPr>
              <w:t>[Slides 77, 94]</w:t>
            </w:r>
          </w:p>
        </w:tc>
      </w:tr>
    </w:tbl>
    <w:p>
      <w:pPr>
        <w:pStyle w:val="KeySection"/>
      </w:pPr>
      <w:r>
        <w:t>07  Investment committee, software &amp;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95"/>
        <w:gridCol w:w="6221"/>
      </w:tblGrid>
      <w:tr>
        <w:trPr>
          <w:tblHeader/>
        </w:trPr>
        <w:tc>
          <w:tcPr>
            <w:tcW w:type="dxa" w:w="69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#</w:t>
            </w:r>
          </w:p>
        </w:tc>
        <w:tc>
          <w:tcPr>
            <w:tcW w:type="dxa" w:w="2995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KEY FINDING</w:t>
            </w:r>
          </w:p>
        </w:tc>
        <w:tc>
          <w:tcPr>
            <w:tcW w:type="dxa" w:w="6221"/>
            <w:tcMar>
              <w:top w:w="75" w:type="dxa"/>
              <w:start w:w="75" w:type="dxa"/>
              <w:bottom w:w="75" w:type="dxa"/>
              <w:end w:w="75" w:type="dxa"/>
            </w:tcMar>
            <w:shd w:fill="E7EFF3"/>
            <w:tcBorders>
              <w:bottom w:val="single" w:sz="4" w:color="C9D8E1"/>
            </w:tcBorders>
          </w:tcPr>
          <w:p>
            <w:r/>
            <w:r>
              <w:rPr>
                <w:b/>
                <w:color w:val="1B607C"/>
                <w:sz w:val="14"/>
              </w:rPr>
              <w:t>SHORT DESCRIPTION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80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Committee output has six decision panels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Explain allocation, expected performance, loss limits, extreme-risk robustness, out-of-sample trust and governance or exit triggers.  </w:t>
            </w:r>
            <w:r>
              <w:rPr>
                <w:color w:val="5B6974"/>
                <w:sz w:val="15"/>
              </w:rPr>
              <w:t>[Slides 79]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81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Approval must be conditional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A high expected return alone cannot justify a portfolio that violates downside limits, liquidity needs, suitability or validation standards.  </w:t>
            </w:r>
            <w:r>
              <w:rPr>
                <w:color w:val="5B6974"/>
                <w:sz w:val="15"/>
              </w:rPr>
              <w:t>[Slides 80]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82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App should be one coherent system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Streamlit design should connect market data, real positions, portfolio P&amp;L, risk/validation panels and the final decision page.  </w:t>
            </w:r>
            <w:r>
              <w:rPr>
                <w:color w:val="5B6974"/>
                <w:sz w:val="15"/>
              </w:rPr>
              <w:t>[Slides 81]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83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Reproducibility is a core principle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Document sources, price adjustments, data alignment, assumptions, formulas, model settings, limits and repeatable outputs.  </w:t>
            </w:r>
            <w:r>
              <w:rPr>
                <w:color w:val="5B6974"/>
                <w:sz w:val="15"/>
              </w:rPr>
              <w:t>[Slides 81–83]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84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Always state units and uncertainty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Report model metrics with their investment horizon, currency or percentage, uncertainty and the decision each number informs.  </w:t>
            </w:r>
            <w:r>
              <w:rPr>
                <w:color w:val="5B6974"/>
                <w:sz w:val="15"/>
              </w:rPr>
              <w:t>[Slides 54, 58, 83]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85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Formula definitions must stay consistent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Simple/log returns, notional, multipliers, NAV, VaR, ES and risk exposures must be calculated with compatible instrument conventions.  </w:t>
            </w:r>
            <w:r>
              <w:rPr>
                <w:color w:val="5B6974"/>
                <w:sz w:val="15"/>
              </w:rPr>
              <w:t>[Slides 84–98]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86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Final principles: suitability and transparency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Understand the asset, trace cash flows, model risks, validate forecasts and defend the recommendation openly.  </w:t>
            </w:r>
            <w:r>
              <w:rPr>
                <w:color w:val="5B6974"/>
                <w:sz w:val="15"/>
              </w:rPr>
              <w:t>[Slides 82]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87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Draft rules require official verification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  <w:shd w:fill="F3F7F9"/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The lecture cites an uploaded concept draft and tentative scoring details; confirm binding universe, deadlines, rubric and deliverables with organizers.  </w:t>
            </w:r>
            <w:r>
              <w:rPr>
                <w:color w:val="5B6974"/>
                <w:sz w:val="15"/>
              </w:rPr>
              <w:t>[Slides 4, 79, 99]</w:t>
            </w:r>
          </w:p>
        </w:tc>
      </w:tr>
      <w:tr>
        <w:tc>
          <w:tcPr>
            <w:tcW w:type="dxa" w:w="69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jc w:val="center"/>
            </w:pPr>
            <w:r/>
            <w:r>
              <w:rPr>
                <w:b/>
                <w:color w:val="1B607C"/>
                <w:sz w:val="17"/>
              </w:rPr>
              <w:t>88</w:t>
            </w:r>
          </w:p>
        </w:tc>
        <w:tc>
          <w:tcPr>
            <w:tcW w:type="dxa" w:w="2995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7" w:lineRule="auto"/>
            </w:pPr>
            <w:r/>
            <w:r>
              <w:rPr>
                <w:b/>
                <w:color w:val="142B42"/>
                <w:sz w:val="17"/>
              </w:rPr>
              <w:t>Verify exchange and practitioner sources</w:t>
            </w:r>
          </w:p>
        </w:tc>
        <w:tc>
          <w:tcPr>
            <w:tcW w:type="dxa" w:w="6221"/>
            <w:vAlign w:val="center"/>
            <w:tcMar>
              <w:top w:w="95" w:type="dxa"/>
              <w:start w:w="95" w:type="dxa"/>
              <w:bottom w:w="90" w:type="dxa"/>
              <w:end w:w="95" w:type="dxa"/>
            </w:tcMar>
            <w:tcBorders>
              <w:bottom w:val="single" w:sz="4" w:color="DFE7EA"/>
            </w:tcBorders>
          </w:tcPr>
          <w:p>
            <w:pPr>
              <w:spacing w:line="259" w:lineRule="auto"/>
            </w:pPr>
            <w:r/>
            <w:r>
              <w:rPr>
                <w:color w:val="25313D"/>
                <w:sz w:val="17"/>
              </w:rPr>
              <w:t xml:space="preserve">Check live contract terms, margin and expiry rules with official exchanges; the deck’s reference list is introductory.  </w:t>
            </w:r>
            <w:r>
              <w:rPr>
                <w:color w:val="5B6974"/>
                <w:sz w:val="15"/>
              </w:rPr>
              <w:t>[Slides 26, 37, 99]</w:t>
            </w:r>
          </w:p>
        </w:tc>
      </w:tr>
    </w:tbl>
    <w:p>
      <w:pPr>
        <w:spacing w:before="200"/>
      </w:pPr>
      <w:r>
        <w:rPr>
          <w:b/>
          <w:color w:val="142B42"/>
          <w:sz w:val="16"/>
        </w:rPr>
        <w:t xml:space="preserve">Reading note  </w:t>
      </w:r>
      <w:r>
        <w:rPr>
          <w:color w:val="5B6974"/>
          <w:sz w:val="16"/>
        </w:rPr>
        <w:t>Slide numbers refer to the original 99-slide PPTX. Values such as USD 10m, illustrative futures prices and the 58.33% example are lecture/draft figures, not verified market results.</w:t>
      </w:r>
    </w:p>
    <w:sectPr w:rsidR="00FC693F" w:rsidRPr="0006063C" w:rsidSect="00034616">
      <w:headerReference w:type="default" r:id="rId9"/>
      <w:footerReference w:type="default" r:id="rId10"/>
      <w:pgSz w:w="11909" w:h="16848"/>
      <w:pgMar w:top="979" w:right="994" w:bottom="979" w:left="994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974"/>
        <w:sz w:val="15"/>
      </w:rPr>
      <w:t xml:space="preserve">QuantEdge | Knowledge summary  ·  </w:t>
    </w:r>
    <w:r>
      <w:rPr>
        <w:color w:val="5B6974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/>
        <w:b/>
        <w:color w:val="1B607C"/>
        <w:sz w:val="16"/>
      </w:rPr>
      <w:t>QUANTEDGE  /  EDGEFORGE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Aptos" w:hAnsi="Aptos"/>
      <w:color w:val="25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Section">
    <w:name w:val="KeySection"/>
    <w:basedOn w:val="Normal"/>
    <w:pPr>
      <w:keepNext/>
      <w:spacing w:before="260" w:after="100"/>
    </w:pPr>
    <w:rPr>
      <w:rFonts w:ascii="Aptos Display" w:hAnsi="Aptos Display"/>
      <w:b/>
      <w:color w:val="142B4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QuantEdge — Masterclass Key Findings Summary</dc:title>
  <dc:subject>Indexed key findings from slides 1–99 of EDGEFORGE 2026 masterclass</dc:subject>
  <dc:creator>QuantEdge Knowledge Reference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