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Strategic Product Plan &amp; Business Case Development</w:t>
      </w:r>
    </w:p>
    <w:p>
      <w:pPr>
        <w:jc w:val="center"/>
      </w:pPr>
      <w:r>
        <w:rPr>
          <w:rFonts w:ascii="Arial" w:hAnsi="Arial"/>
          <w:i/>
          <w:color w:val="2B6CB0"/>
          <w:sz w:val="22"/>
        </w:rPr>
        <w:t>Product: ChargePulse — Smart EV Charging &amp; Fleet Energy Optimization Platform</w:t>
        <w:br/>
        <w:t>Week 2 Strategic Deliverable | Product Management Portfolio</w:t>
      </w:r>
    </w:p>
    <w:p/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Executive Summary &amp; Product Vision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ChargePulse is an intelligent software platform that optimizes electric vehicle (EV) charging infrastructure, battery thermal pre-conditioning, and grid load management for two-wheeler/three-wheeler fleets and public charging networks (benchmarking OEMs like Ather and Ola Electric). It combines real-time battery management system (BMS) telemetry with over-the-air (OTA) controls to optimize charging speeds, extend battery health, and lower grid energy costs.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Vision Statement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To build the global operating backbone for electric mobility charging—maximizing fleet uptime, battery longevity, and renewable energy integration seamlessly.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Mission Statement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ChargePulse delivers dynamic, telemetry-driven charging algorithms and automated fleet energy management software to make EV charging faster, cheaper, and safer for operators and end-users.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Strategic Objectives &amp; Key Results (OKRs)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Objective 1 (Market Expansion): </w:t>
      </w:r>
      <w:r>
        <w:rPr>
          <w:rFonts w:ascii="Arial" w:hAnsi="Arial"/>
          <w:color w:val="2D3748"/>
          <w:sz w:val="20"/>
        </w:rPr>
        <w:t>Expand platform adoption across commercial EV fleets and CPOs.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  • KR 1.1: </w:t>
      </w:r>
      <w:r>
        <w:rPr>
          <w:rFonts w:ascii="Arial" w:hAnsi="Arial"/>
          <w:color w:val="2D3748"/>
          <w:sz w:val="20"/>
        </w:rPr>
        <w:t>Integrate 25,000 active EV charging endpoints onto the platform within 12 months.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  • KR 1.2: </w:t>
      </w:r>
      <w:r>
        <w:rPr>
          <w:rFonts w:ascii="Arial" w:hAnsi="Arial"/>
          <w:color w:val="2D3748"/>
          <w:sz w:val="20"/>
        </w:rPr>
        <w:t>Form partnerships with 3 major EV OEMs for native BMS telemetry integration.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Objective 2 (Product Performance): </w:t>
      </w:r>
      <w:r>
        <w:rPr>
          <w:rFonts w:ascii="Arial" w:hAnsi="Arial"/>
          <w:color w:val="2D3748"/>
          <w:sz w:val="20"/>
        </w:rPr>
        <w:t>Optimize battery health and grid energy expenditure.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  • KR 2.1: </w:t>
      </w:r>
      <w:r>
        <w:rPr>
          <w:rFonts w:ascii="Arial" w:hAnsi="Arial"/>
          <w:color w:val="2D3748"/>
          <w:sz w:val="20"/>
        </w:rPr>
        <w:t>Reduce battery thermal degradation during fast charging by 22%.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  • KR 2.2: </w:t>
      </w:r>
      <w:r>
        <w:rPr>
          <w:rFonts w:ascii="Arial" w:hAnsi="Arial"/>
          <w:color w:val="2D3748"/>
          <w:sz w:val="20"/>
        </w:rPr>
        <w:t>Achieve 15% reduction in peak-hour electricity costs through smart load shifting.</w:t>
      </w:r>
    </w:p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Target Market Research &amp; Analysis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The global EV Charging Infrastructure market is projected to reach $120+ Billion by 2030, driven by rapid fleet electrification in urban delivery, ride-hailing, and public transport sectors.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Target Market Segmentation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Needs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Market Share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Adoption Readiness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Commercial Fleets (2W/3W/4W)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Uptime optimization, dynamic load management, battery health monitoring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45%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Charge Point Operators (CPOs)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Grid load balancing, tariff optimization, remote diagnostic tools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35%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Residential &amp; Workplace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Scheduled off-peak charging, solar integration, automated billing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Value Proposition &amp; Business Model Canvas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1. Battery Health Preservation: </w:t>
      </w:r>
      <w:r>
        <w:rPr>
          <w:rFonts w:ascii="Arial" w:hAnsi="Arial"/>
          <w:color w:val="2D3748"/>
          <w:sz w:val="20"/>
        </w:rPr>
        <w:t>Proactive BMS thermal management prevents battery overheating during fast charges.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2. Dynamic Tariff Optimization: </w:t>
      </w:r>
      <w:r>
        <w:rPr>
          <w:rFonts w:ascii="Arial" w:hAnsi="Arial"/>
          <w:color w:val="2D3748"/>
          <w:sz w:val="20"/>
        </w:rPr>
        <w:t>Algorithms schedule charging during low-tariff hours to cut electricity costs.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20"/>
        </w:rPr>
        <w:t xml:space="preserve">3. Staged OTA Deployment: </w:t>
      </w:r>
      <w:r>
        <w:rPr>
          <w:rFonts w:ascii="Arial" w:hAnsi="Arial"/>
          <w:color w:val="2D3748"/>
          <w:sz w:val="20"/>
        </w:rPr>
        <w:t>Staged OTA updates enable continuous performance enhancement and remote diagnostics.</w:t>
      </w:r>
    </w:p>
    <w:p>
      <w:pPr>
        <w:keepNext/>
        <w:spacing w:before="200" w:after="80"/>
      </w:pPr>
      <w:r>
        <w:rPr>
          <w:rFonts w:ascii="Arial" w:hAnsi="Arial"/>
          <w:b/>
          <w:color w:val="2B6CB0"/>
          <w:sz w:val="24"/>
        </w:rPr>
        <w:t>Business Model Canvas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2B6CB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Partners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EV OEMs (Ather, Ola Electric benchmarks), Battery Manufacturers, Power Utilities, CPOs</w:t>
            </w:r>
          </w:p>
        </w:tc>
      </w:tr>
      <w:tr>
        <w:tc>
          <w:tcPr>
            <w:tcW w:type="dxa" w:w="4680"/>
            <w:shd w:fill="2B6CB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Activities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Telemetry pipeline development, OTA deployment staging, dynamic load balancing algorithms</w:t>
            </w:r>
          </w:p>
        </w:tc>
      </w:tr>
      <w:tr>
        <w:tc>
          <w:tcPr>
            <w:tcW w:type="dxa" w:w="4680"/>
            <w:shd w:fill="2B6CB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 Propositions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22% reduction in battery degradation, 15% cost savings on energy, 99.9% uptime for fleets</w:t>
            </w:r>
          </w:p>
        </w:tc>
      </w:tr>
      <w:tr>
        <w:tc>
          <w:tcPr>
            <w:tcW w:type="dxa" w:w="4680"/>
            <w:shd w:fill="2B6CB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Customer Relationships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Dedicated enterprise account management, custom SLA tiers, automated telemetry dashboards</w:t>
            </w:r>
          </w:p>
        </w:tc>
      </w:tr>
      <w:tr>
        <w:tc>
          <w:tcPr>
            <w:tcW w:type="dxa" w:w="4680"/>
            <w:shd w:fill="2B6CB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Revenue Streams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SaaS subscription per active charger/vehicle, enterprise custom OTA integration, energy optimization sharing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4. Competitive Benchmarks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ChargePulse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OEM Native Systems (Ather/Ola)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Generic CPO Platforms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BMS Telemetry &amp; Thermal Conditioning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Real-time AI adaptive control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Proprietary / Closed ecosystem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Basic voltage / state of charge only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Multi-OEM Fleet Support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Universal multi-brand protocol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Locked to brand vehicles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Basic OCPP standard only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Staged OTA Rollout &amp; Rollback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Automated risk-mitigated OTA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Manual / Scheduled batch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Not supported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5. Business Case &amp; Financial Projections ($ in Thousands)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5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15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15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Year 3</w:t>
            </w:r>
          </w:p>
        </w:tc>
        <w:tc>
          <w:tcPr>
            <w:tcW w:type="dxa" w:w="15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Year 4</w:t>
            </w:r>
          </w:p>
        </w:tc>
        <w:tc>
          <w:tcPr>
            <w:tcW w:type="dxa" w:w="15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Year 5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Gross Revenue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$1,500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$5,200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$14,500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$31,000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$58,000</w:t>
            </w:r>
          </w:p>
        </w:tc>
      </w:tr>
      <w:tr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Cost of Goods Sold (COGS)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$450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$1,144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$2,610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$4,960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$8,700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Gross Margin 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70.0%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78.0%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82.0%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84.0%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85.0%</w:t>
            </w:r>
          </w:p>
        </w:tc>
      </w:tr>
      <w:tr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Operating Expenses (OpEx)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$2,200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$4,500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$8,100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$15,200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$23,500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Net EBITDA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($1,150)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($444)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$3,790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$10,840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$25,800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6. Risk Assessment &amp;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Risk Category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Identified Risk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Impact / Likelihood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Mitigation Strategy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Safety &amp; Hardware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Thermal runaway during fast charge or faulty OTA update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High / Low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Automated staged rollout with instant rollback; fail-safe hardware thermal cutoffs.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Protocol Compatibility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Proprietary OEM BMS telemetry lock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High / Medium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Standardize on open OCPP 2.0.1 and build custom adapter middleware.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Grid Infrastructure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Local transformer overload during peak hours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Medium / High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Real-time dynamic load balancing and scheduled peak-shaving charging.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